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6974"/>
        <w:gridCol w:w="6975"/>
      </w:tblGrid>
      <w:tr w:rsidR="00AF1E8A" w:rsidRPr="008224CB" w:rsidTr="00AF1E8A">
        <w:tc>
          <w:tcPr>
            <w:tcW w:w="6974" w:type="dxa"/>
          </w:tcPr>
          <w:p w:rsidR="00AF1E8A" w:rsidRPr="008224CB" w:rsidRDefault="00C92018" w:rsidP="008224CB">
            <w:pPr>
              <w:jc w:val="center"/>
              <w:rPr>
                <w:rFonts w:ascii="Times New Roman" w:hAnsi="Times New Roman" w:cs="Times New Roman"/>
                <w:b/>
                <w:bCs/>
              </w:rPr>
            </w:pPr>
            <w:proofErr w:type="spellStart"/>
            <w:r w:rsidRPr="008224CB">
              <w:rPr>
                <w:rFonts w:ascii="Times New Roman" w:hAnsi="Times New Roman" w:cs="Times New Roman"/>
                <w:b/>
                <w:bCs/>
              </w:rPr>
              <w:t>Cerinte</w:t>
            </w:r>
            <w:proofErr w:type="spellEnd"/>
            <w:r w:rsidRPr="008224CB">
              <w:rPr>
                <w:rFonts w:ascii="Times New Roman" w:hAnsi="Times New Roman" w:cs="Times New Roman"/>
                <w:b/>
                <w:bCs/>
              </w:rPr>
              <w:t xml:space="preserve"> </w:t>
            </w:r>
            <w:proofErr w:type="spellStart"/>
            <w:r w:rsidRPr="008224CB">
              <w:rPr>
                <w:rFonts w:ascii="Times New Roman" w:hAnsi="Times New Roman" w:cs="Times New Roman"/>
                <w:b/>
                <w:bCs/>
              </w:rPr>
              <w:t>caiet</w:t>
            </w:r>
            <w:proofErr w:type="spellEnd"/>
            <w:r w:rsidRPr="008224CB">
              <w:rPr>
                <w:rFonts w:ascii="Times New Roman" w:hAnsi="Times New Roman" w:cs="Times New Roman"/>
                <w:b/>
                <w:bCs/>
              </w:rPr>
              <w:t xml:space="preserve"> de </w:t>
            </w:r>
            <w:proofErr w:type="spellStart"/>
            <w:r w:rsidRPr="008224CB">
              <w:rPr>
                <w:rFonts w:ascii="Times New Roman" w:hAnsi="Times New Roman" w:cs="Times New Roman"/>
                <w:b/>
                <w:bCs/>
              </w:rPr>
              <w:t>sarcini</w:t>
            </w:r>
            <w:proofErr w:type="spellEnd"/>
          </w:p>
        </w:tc>
        <w:tc>
          <w:tcPr>
            <w:tcW w:w="6975" w:type="dxa"/>
          </w:tcPr>
          <w:p w:rsidR="00AF1E8A" w:rsidRPr="008224CB" w:rsidRDefault="00C92018" w:rsidP="008224CB">
            <w:pPr>
              <w:jc w:val="center"/>
              <w:rPr>
                <w:rFonts w:ascii="Times New Roman" w:hAnsi="Times New Roman" w:cs="Times New Roman"/>
                <w:b/>
                <w:bCs/>
              </w:rPr>
            </w:pPr>
            <w:r w:rsidRPr="008224CB">
              <w:rPr>
                <w:rFonts w:ascii="Times New Roman" w:hAnsi="Times New Roman" w:cs="Times New Roman"/>
                <w:b/>
                <w:bCs/>
              </w:rPr>
              <w:t>Specificații ofertate</w:t>
            </w:r>
          </w:p>
        </w:tc>
      </w:tr>
      <w:tr w:rsidR="00AF1E8A" w:rsidRPr="008224CB" w:rsidTr="00C92018">
        <w:trPr>
          <w:trHeight w:val="3905"/>
        </w:trPr>
        <w:tc>
          <w:tcPr>
            <w:tcW w:w="6974" w:type="dxa"/>
          </w:tcPr>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Unitățile care vor beneficia de materiale didactice sunt următoarele:</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1</w:t>
            </w:r>
            <w:r w:rsidRPr="008224CB">
              <w:rPr>
                <w:rFonts w:ascii="Times New Roman" w:eastAsia="Times New Roman" w:hAnsi="Times New Roman" w:cs="Times New Roman"/>
                <w:kern w:val="0"/>
                <w:lang w:val="ro-RO"/>
              </w:rPr>
              <w:tab/>
              <w:t>GPP SF MARINA</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2</w:t>
            </w:r>
            <w:r w:rsidRPr="008224CB">
              <w:rPr>
                <w:rFonts w:ascii="Times New Roman" w:eastAsia="Times New Roman" w:hAnsi="Times New Roman" w:cs="Times New Roman"/>
                <w:kern w:val="0"/>
                <w:lang w:val="ro-RO"/>
              </w:rPr>
              <w:tab/>
              <w:t>GPP SF NICOLAE</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3</w:t>
            </w:r>
            <w:r w:rsidRPr="008224CB">
              <w:rPr>
                <w:rFonts w:ascii="Times New Roman" w:eastAsia="Times New Roman" w:hAnsi="Times New Roman" w:cs="Times New Roman"/>
                <w:kern w:val="0"/>
                <w:lang w:val="ro-RO"/>
              </w:rPr>
              <w:tab/>
              <w:t xml:space="preserve">Școala Gimnazială  ''OPREA IORGULESCU'' </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4</w:t>
            </w:r>
            <w:r w:rsidRPr="008224CB">
              <w:rPr>
                <w:rFonts w:ascii="Times New Roman" w:eastAsia="Times New Roman" w:hAnsi="Times New Roman" w:cs="Times New Roman"/>
                <w:kern w:val="0"/>
                <w:lang w:val="ro-RO"/>
              </w:rPr>
              <w:tab/>
              <w:t>Școala Gimnazială  ''C.D.ARICESCU''</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5</w:t>
            </w:r>
            <w:r w:rsidRPr="008224CB">
              <w:rPr>
                <w:rFonts w:ascii="Times New Roman" w:eastAsia="Times New Roman" w:hAnsi="Times New Roman" w:cs="Times New Roman"/>
                <w:kern w:val="0"/>
                <w:lang w:val="ro-RO"/>
              </w:rPr>
              <w:tab/>
              <w:t>Școala Gimnazială  ''NANU MUSCEL''</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6</w:t>
            </w:r>
            <w:r w:rsidRPr="008224CB">
              <w:rPr>
                <w:rFonts w:ascii="Times New Roman" w:eastAsia="Times New Roman" w:hAnsi="Times New Roman" w:cs="Times New Roman"/>
                <w:kern w:val="0"/>
                <w:lang w:val="ro-RO"/>
              </w:rPr>
              <w:tab/>
              <w:t>Școala Gimnazială  ''THEODOR AMAN''</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7</w:t>
            </w:r>
            <w:r w:rsidRPr="008224CB">
              <w:rPr>
                <w:rFonts w:ascii="Times New Roman" w:eastAsia="Times New Roman" w:hAnsi="Times New Roman" w:cs="Times New Roman"/>
                <w:kern w:val="0"/>
                <w:lang w:val="ro-RO"/>
              </w:rPr>
              <w:tab/>
              <w:t>LICEUL TEHNOLOGIC AUTO</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8</w:t>
            </w:r>
            <w:r w:rsidRPr="008224CB">
              <w:rPr>
                <w:rFonts w:ascii="Times New Roman" w:eastAsia="Times New Roman" w:hAnsi="Times New Roman" w:cs="Times New Roman"/>
                <w:kern w:val="0"/>
                <w:lang w:val="ro-RO"/>
              </w:rPr>
              <w:tab/>
              <w:t>Colegiul Național  ''DINICU GOLESCU''</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9</w:t>
            </w:r>
            <w:r w:rsidRPr="008224CB">
              <w:rPr>
                <w:rFonts w:ascii="Times New Roman" w:eastAsia="Times New Roman" w:hAnsi="Times New Roman" w:cs="Times New Roman"/>
                <w:kern w:val="0"/>
                <w:lang w:val="ro-RO"/>
              </w:rPr>
              <w:tab/>
              <w:t>Colegiul Național  ''CAROL I''</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10</w:t>
            </w:r>
            <w:r w:rsidRPr="008224CB">
              <w:rPr>
                <w:rFonts w:ascii="Times New Roman" w:eastAsia="Times New Roman" w:hAnsi="Times New Roman" w:cs="Times New Roman"/>
                <w:kern w:val="0"/>
                <w:lang w:val="ro-RO"/>
              </w:rPr>
              <w:tab/>
              <w:t>Liceul teoretic  ''DAN BARBILIAN''</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11</w:t>
            </w:r>
            <w:r w:rsidRPr="008224CB">
              <w:rPr>
                <w:rFonts w:ascii="Times New Roman" w:eastAsia="Times New Roman" w:hAnsi="Times New Roman" w:cs="Times New Roman"/>
                <w:kern w:val="0"/>
                <w:lang w:val="ro-RO"/>
              </w:rPr>
              <w:tab/>
              <w:t>COLEGIUL TEHNIC CAMPULUNG</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12</w:t>
            </w:r>
            <w:r w:rsidRPr="008224CB">
              <w:rPr>
                <w:rFonts w:ascii="Times New Roman" w:eastAsia="Times New Roman" w:hAnsi="Times New Roman" w:cs="Times New Roman"/>
                <w:kern w:val="0"/>
                <w:lang w:val="ro-RO"/>
              </w:rPr>
              <w:tab/>
              <w:t>Liceul cu Program SPORTIV</w:t>
            </w:r>
          </w:p>
          <w:p w:rsidR="00C92018"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13</w:t>
            </w:r>
            <w:r w:rsidRPr="008224CB">
              <w:rPr>
                <w:rFonts w:ascii="Times New Roman" w:eastAsia="Times New Roman" w:hAnsi="Times New Roman" w:cs="Times New Roman"/>
                <w:kern w:val="0"/>
                <w:lang w:val="ro-RO"/>
              </w:rPr>
              <w:tab/>
              <w:t>SCOALA DE MUZICA</w:t>
            </w:r>
          </w:p>
          <w:p w:rsidR="00AF1E8A" w:rsidRPr="008224CB" w:rsidRDefault="00C92018" w:rsidP="008224CB">
            <w:pPr>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14</w:t>
            </w:r>
            <w:r w:rsidRPr="008224CB">
              <w:rPr>
                <w:rFonts w:ascii="Times New Roman" w:eastAsia="Times New Roman" w:hAnsi="Times New Roman" w:cs="Times New Roman"/>
                <w:kern w:val="0"/>
                <w:lang w:val="ro-RO"/>
              </w:rPr>
              <w:tab/>
              <w:t>CLUBUL COPIILOR</w:t>
            </w:r>
          </w:p>
        </w:tc>
        <w:tc>
          <w:tcPr>
            <w:tcW w:w="6975" w:type="dxa"/>
          </w:tcPr>
          <w:p w:rsidR="00AF1E8A" w:rsidRPr="008224CB" w:rsidRDefault="00AF1E8A" w:rsidP="008224CB">
            <w:pPr>
              <w:rPr>
                <w:rFonts w:ascii="Times New Roman" w:hAnsi="Times New Roman" w:cs="Times New Roman"/>
              </w:rPr>
            </w:pPr>
          </w:p>
        </w:tc>
      </w:tr>
      <w:tr w:rsidR="00AF1E8A" w:rsidRPr="008224CB" w:rsidTr="00AF1E8A">
        <w:tc>
          <w:tcPr>
            <w:tcW w:w="6974" w:type="dxa"/>
          </w:tcPr>
          <w:p w:rsidR="00C92018" w:rsidRPr="008224CB" w:rsidRDefault="00C92018" w:rsidP="008224CB">
            <w:pPr>
              <w:jc w:val="both"/>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În cadrul prezentei proceduri, ofertanții au obligația de a respecta valorile maxime eligibile/unitate de învățământ stabilite prin documentația de finanțare (PNRR/alte programe europene sau naționale).</w:t>
            </w:r>
          </w:p>
          <w:p w:rsidR="00C92018" w:rsidRPr="008224CB" w:rsidRDefault="00C92018" w:rsidP="008224CB">
            <w:pPr>
              <w:jc w:val="both"/>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Conform art. 2 alin. (2) din Legea nr. 98/2016 privind achizițiile publice, autoritatea contractantă are obligația de a asigura utilizarea eficientă a fondurilor publice și respectarea condițiilor de eligibilitate impuse prin ghidul solicitantului și contractul de finanțare.</w:t>
            </w:r>
          </w:p>
          <w:p w:rsidR="00AF1E8A" w:rsidRPr="008224CB" w:rsidRDefault="00A264C5" w:rsidP="008224CB">
            <w:pPr>
              <w:jc w:val="both"/>
              <w:rPr>
                <w:rFonts w:ascii="Times New Roman" w:eastAsia="Times New Roman" w:hAnsi="Times New Roman" w:cs="Times New Roman"/>
                <w:kern w:val="0"/>
                <w:lang w:val="ro-RO"/>
              </w:rPr>
            </w:pPr>
            <w:r>
              <w:rPr>
                <w:rFonts w:ascii="Times New Roman" w:eastAsia="Times New Roman" w:hAnsi="Times New Roman" w:cs="Times New Roman"/>
                <w:kern w:val="0"/>
                <w:lang w:val="ro-RO"/>
              </w:rPr>
              <w:t>De asemenea, potrivit art. 215</w:t>
            </w:r>
            <w:r w:rsidR="00113278">
              <w:rPr>
                <w:rFonts w:ascii="Times New Roman" w:eastAsia="Times New Roman" w:hAnsi="Times New Roman" w:cs="Times New Roman"/>
                <w:kern w:val="0"/>
                <w:lang w:val="ro-RO"/>
              </w:rPr>
              <w:t xml:space="preserve"> </w:t>
            </w:r>
            <w:r>
              <w:rPr>
                <w:rFonts w:ascii="Times New Roman" w:eastAsia="Times New Roman" w:hAnsi="Times New Roman" w:cs="Times New Roman"/>
                <w:kern w:val="0"/>
                <w:lang w:val="ro-RO"/>
              </w:rPr>
              <w:t>alin. (5</w:t>
            </w:r>
            <w:r w:rsidR="00C92018" w:rsidRPr="008224CB">
              <w:rPr>
                <w:rFonts w:ascii="Times New Roman" w:eastAsia="Times New Roman" w:hAnsi="Times New Roman" w:cs="Times New Roman"/>
                <w:kern w:val="0"/>
                <w:lang w:val="ro-RO"/>
              </w:rPr>
              <w:t>) din Legea nr. 98/2016</w:t>
            </w:r>
            <w:r>
              <w:rPr>
                <w:rFonts w:ascii="Times New Roman" w:eastAsia="Times New Roman" w:hAnsi="Times New Roman" w:cs="Times New Roman"/>
                <w:kern w:val="0"/>
                <w:lang w:val="ro-RO"/>
              </w:rPr>
              <w:t xml:space="preserve"> si art. 137, alin. (3) din HG 395/2016</w:t>
            </w:r>
            <w:r w:rsidR="00C92018" w:rsidRPr="008224CB">
              <w:rPr>
                <w:rFonts w:ascii="Times New Roman" w:eastAsia="Times New Roman" w:hAnsi="Times New Roman" w:cs="Times New Roman"/>
                <w:kern w:val="0"/>
                <w:lang w:val="ro-RO"/>
              </w:rPr>
              <w:t>, oferta este considerată neconformă dacă nu respectă cerințele caietului de sarcini sau impune condiții contrare acestuia.</w:t>
            </w:r>
          </w:p>
          <w:p w:rsidR="00C92018" w:rsidRPr="008224CB" w:rsidRDefault="00C92018" w:rsidP="008224CB">
            <w:pPr>
              <w:jc w:val="both"/>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 xml:space="preserve">Prin urmare, </w:t>
            </w:r>
            <w:r w:rsidRPr="008224CB">
              <w:rPr>
                <w:rFonts w:ascii="Times New Roman" w:eastAsia="Times New Roman" w:hAnsi="Times New Roman" w:cs="Times New Roman"/>
                <w:b/>
                <w:bCs/>
                <w:kern w:val="0"/>
                <w:lang w:val="ro-RO"/>
              </w:rPr>
              <w:t>orice ofertă care depășește valorile maxime eligibile prevăzute pe unitate de învățământ in cadrul fiecarei investitii in parte, va fi considerată neconformă și va fi respinsă</w:t>
            </w:r>
            <w:r w:rsidRPr="008224CB">
              <w:rPr>
                <w:rFonts w:ascii="Times New Roman" w:eastAsia="Times New Roman" w:hAnsi="Times New Roman" w:cs="Times New Roman"/>
                <w:kern w:val="0"/>
                <w:lang w:val="ro-RO"/>
              </w:rPr>
              <w:t>, întrucât generează cheltuieli neeligibile și nu poate fi finanțată din bugetul proiectului.</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C92018" w:rsidP="008224CB">
            <w:pPr>
              <w:rPr>
                <w:rFonts w:ascii="Times New Roman" w:hAnsi="Times New Roman" w:cs="Times New Roman"/>
                <w:lang w:val="ro-RO"/>
              </w:rPr>
            </w:pPr>
            <w:r w:rsidRPr="008224CB">
              <w:rPr>
                <w:rFonts w:ascii="Times New Roman" w:hAnsi="Times New Roman" w:cs="Times New Roman"/>
                <w:b/>
                <w:lang w:val="ro-RO"/>
              </w:rPr>
              <w:t>Cerințe minime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C92018" w:rsidP="008224CB">
            <w:pPr>
              <w:jc w:val="both"/>
              <w:rPr>
                <w:rFonts w:ascii="Times New Roman" w:eastAsia="Times New Roman" w:hAnsi="Times New Roman" w:cs="Times New Roman"/>
                <w:kern w:val="0"/>
                <w:lang w:val="ro-RO"/>
              </w:rPr>
            </w:pPr>
            <w:r w:rsidRPr="008224CB">
              <w:rPr>
                <w:rFonts w:ascii="Times New Roman" w:eastAsia="Times New Roman" w:hAnsi="Times New Roman" w:cs="Times New Roman"/>
                <w:kern w:val="0"/>
                <w:lang w:val="ro-RO"/>
              </w:rPr>
              <w:t xml:space="preserve">Prin depunerea de oferta, ofertanții își asumă în mod explicit, irevocabil și necondiționat îndeplinirea cerințelor formulate în prezentul caiet de sarcini, </w:t>
            </w:r>
            <w:r w:rsidRPr="008224CB">
              <w:rPr>
                <w:rFonts w:ascii="Times New Roman" w:eastAsia="Times New Roman" w:hAnsi="Times New Roman" w:cs="Times New Roman"/>
                <w:kern w:val="0"/>
                <w:lang w:val="ro-RO"/>
              </w:rPr>
              <w:lastRenderedPageBreak/>
              <w:t>în scopul atribuirii contractului, cerințe care sunt minimale și obligatorii. Pentru a fi declarata conforma, oferta depusa trebuie sa respecte/îndeplinească fiecare cerința minima și obligatorie, specificata ca atare în caietul de sarcini și care se regăsește în Formularul Propunere tehnica pus la dispoziție de achizitor.</w:t>
            </w:r>
          </w:p>
        </w:tc>
        <w:tc>
          <w:tcPr>
            <w:tcW w:w="6975" w:type="dxa"/>
          </w:tcPr>
          <w:p w:rsidR="00AF1E8A" w:rsidRPr="008224CB" w:rsidRDefault="00AF1E8A" w:rsidP="008224CB">
            <w:pPr>
              <w:jc w:val="both"/>
              <w:rPr>
                <w:rFonts w:ascii="Times New Roman" w:hAnsi="Times New Roman" w:cs="Times New Roman"/>
                <w:lang w:val="ro-RO"/>
              </w:rPr>
            </w:pPr>
          </w:p>
        </w:tc>
      </w:tr>
      <w:tr w:rsidR="00AF1E8A" w:rsidRPr="008224CB" w:rsidTr="00AF1E8A">
        <w:tc>
          <w:tcPr>
            <w:tcW w:w="6974" w:type="dxa"/>
          </w:tcPr>
          <w:p w:rsidR="00AF1E8A" w:rsidRPr="008224CB" w:rsidRDefault="00C92018" w:rsidP="008224CB">
            <w:pPr>
              <w:jc w:val="both"/>
              <w:rPr>
                <w:rFonts w:ascii="Times New Roman" w:eastAsia="Arial" w:hAnsi="Times New Roman" w:cs="Times New Roman"/>
                <w:color w:val="000000"/>
                <w:kern w:val="0"/>
                <w:lang w:val="ro-RO" w:eastAsia="ro-RO"/>
              </w:rPr>
            </w:pPr>
            <w:r w:rsidRPr="008224CB">
              <w:rPr>
                <w:rFonts w:ascii="Times New Roman" w:eastAsia="Arial" w:hAnsi="Times New Roman" w:cs="Times New Roman"/>
                <w:color w:val="000000"/>
                <w:kern w:val="0"/>
                <w:lang w:val="ro-RO" w:eastAsia="ro-RO"/>
              </w:rPr>
              <w:lastRenderedPageBreak/>
              <w:t>Atunci când cerințele caietului de sarcini indica cerințe sau clase de funcționalități obligatorii și valorile minime corespunzătoare (acolo unde este cazul), se vor indica în mod concret elementele (inclusiv caracteristicile tehnice relevante) efectiv oferite.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C92018" w:rsidRPr="008224CB" w:rsidRDefault="00C92018" w:rsidP="008224CB">
            <w:pPr>
              <w:jc w:val="both"/>
              <w:rPr>
                <w:rFonts w:ascii="Times New Roman" w:eastAsia="Arial" w:hAnsi="Times New Roman" w:cs="Times New Roman"/>
                <w:color w:val="000000"/>
                <w:kern w:val="0"/>
                <w:lang w:val="ro-RO" w:eastAsia="ro-RO"/>
              </w:rPr>
            </w:pPr>
            <w:r w:rsidRPr="008224CB">
              <w:rPr>
                <w:rFonts w:ascii="Times New Roman" w:eastAsia="Arial" w:hAnsi="Times New Roman" w:cs="Times New Roman"/>
                <w:color w:val="000000"/>
                <w:kern w:val="0"/>
                <w:lang w:val="ro-RO" w:eastAsia="ro-RO"/>
              </w:rPr>
              <w:t>Ofertantul va detalia modul în care produsele ofertate (după caz) răspund la fiecare dintre cerințele tehnice enumerate în ”Fise Tehnice Materiale didactice.docx” anexate caietului de sarcini, prezentând matricea de conformitate completată pe baza fișelor tehnice.</w:t>
            </w:r>
          </w:p>
          <w:p w:rsidR="00AF1E8A" w:rsidRPr="008224CB" w:rsidRDefault="00C92018" w:rsidP="008224CB">
            <w:pPr>
              <w:jc w:val="both"/>
              <w:rPr>
                <w:rFonts w:ascii="Times New Roman" w:eastAsia="Arial" w:hAnsi="Times New Roman" w:cs="Times New Roman"/>
                <w:color w:val="000000"/>
                <w:kern w:val="0"/>
                <w:lang w:val="ro-RO" w:eastAsia="ro-RO"/>
              </w:rPr>
            </w:pPr>
            <w:r w:rsidRPr="008224CB">
              <w:rPr>
                <w:rFonts w:ascii="Times New Roman" w:eastAsia="Arial" w:hAnsi="Times New Roman" w:cs="Times New Roman"/>
                <w:color w:val="000000"/>
                <w:kern w:val="0"/>
                <w:lang w:val="ro-RO" w:eastAsia="ro-RO"/>
              </w:rPr>
              <w:t>Ofertantul va prezenta, în mod obligatoriu, documentele și informațiile solicitate de autoritatea contractantă, care să permită identificarea produselor oferite, confirmarea respectării cerințelor tehnice solicitate, respectarea standardelor și cerințelor legale.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C92018" w:rsidP="008224CB">
            <w:pPr>
              <w:ind w:firstLine="720"/>
              <w:jc w:val="both"/>
              <w:rPr>
                <w:rFonts w:ascii="Times New Roman" w:eastAsia="Arial" w:hAnsi="Times New Roman" w:cs="Times New Roman"/>
                <w:color w:val="000000"/>
                <w:kern w:val="0"/>
                <w:lang w:val="ro-RO" w:eastAsia="ro-RO"/>
              </w:rPr>
            </w:pPr>
            <w:r w:rsidRPr="008224CB">
              <w:rPr>
                <w:rFonts w:ascii="Times New Roman" w:eastAsia="Arial" w:hAnsi="Times New Roman" w:cs="Times New Roman"/>
                <w:color w:val="000000"/>
                <w:kern w:val="0"/>
                <w:lang w:val="ro-RO" w:eastAsia="ro-RO"/>
              </w:rPr>
              <w:t>Ofertanții au dreptul să solicite clarificări cu privire la documentația de atribuire, inclusiv clauzele contractuale. Orice propuneri de modificare a clauzelor contractuale care ar putea fi în defavoarea autorității contractante vor fi analizate, iar ofertele care persistă în includerea unor astfel de clauze pot fi respinse ca neconforme. Este imperativ necesar ca ofertanții să atașeze propunerea contractului semnat, în conformitate cu cerințele stabilite. Observații sau sugestii legate de clauzele contractuale trebuie prezentate în timpul perioadei dedicate pentru solicitarea de clarificări. În situația în care modificările propuse la contract sunt clar în defavoarea autorității contractante și, în ciuda notificării, ofertantul refuză ajustările necesare, propunerea va fi considerată neconformă, așa cum este prevăzut în articolul 137, alineatul 3 din HG 395/2016 și modificările ulterioare ale acestuia.</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C92018" w:rsidRPr="008224CB" w:rsidRDefault="00C92018" w:rsidP="008224CB">
            <w:pPr>
              <w:ind w:firstLine="360"/>
              <w:jc w:val="both"/>
              <w:rPr>
                <w:rFonts w:ascii="Times New Roman" w:eastAsia="Arial" w:hAnsi="Times New Roman" w:cs="Times New Roman"/>
                <w:color w:val="000000"/>
                <w:kern w:val="0"/>
                <w:lang w:val="ro-RO" w:eastAsia="ro-RO"/>
              </w:rPr>
            </w:pPr>
            <w:r w:rsidRPr="008224CB">
              <w:rPr>
                <w:rFonts w:ascii="Times New Roman" w:eastAsia="Arial" w:hAnsi="Times New Roman" w:cs="Times New Roman"/>
                <w:color w:val="000000"/>
                <w:kern w:val="0"/>
                <w:lang w:val="ro-RO" w:eastAsia="ro-RO"/>
              </w:rPr>
              <w:t xml:space="preserve">In vederea respectării GHIDUL SOLICITANTULUI - Dotarea cu mobilier, materiale didactice si echipamente digitale a unităților de învățământ preuniversitar și a unităților conexe , Modificat prin Corrigendumul nr. 1 aprobat prin OME nr. 3674/14.02.2023, Ofertantul va </w:t>
            </w:r>
            <w:r w:rsidRPr="008224CB">
              <w:rPr>
                <w:rFonts w:ascii="Times New Roman" w:eastAsia="Arial" w:hAnsi="Times New Roman" w:cs="Times New Roman"/>
                <w:color w:val="000000"/>
                <w:kern w:val="0"/>
                <w:lang w:val="ro-RO" w:eastAsia="ro-RO"/>
              </w:rPr>
              <w:lastRenderedPageBreak/>
              <w:t>prezenta in faza de ofertare, pentru produse, pe lângă documentația tehnică, următoarele:</w:t>
            </w:r>
          </w:p>
          <w:p w:rsidR="00C92018" w:rsidRPr="008224CB" w:rsidRDefault="00C92018" w:rsidP="008224CB">
            <w:pPr>
              <w:numPr>
                <w:ilvl w:val="0"/>
                <w:numId w:val="2"/>
              </w:numPr>
              <w:pBdr>
                <w:top w:val="nil"/>
                <w:left w:val="nil"/>
                <w:bottom w:val="nil"/>
                <w:right w:val="nil"/>
                <w:between w:val="nil"/>
              </w:pBdr>
              <w:rPr>
                <w:rFonts w:ascii="Times New Roman" w:eastAsia="Arial" w:hAnsi="Times New Roman" w:cs="Times New Roman"/>
                <w:color w:val="000000"/>
                <w:kern w:val="0"/>
                <w:lang w:val="ro-RO" w:eastAsia="ro-RO"/>
              </w:rPr>
            </w:pPr>
            <w:r w:rsidRPr="008224CB">
              <w:rPr>
                <w:rFonts w:ascii="Times New Roman" w:eastAsia="Arial" w:hAnsi="Times New Roman" w:cs="Times New Roman"/>
                <w:color w:val="000000"/>
                <w:kern w:val="0"/>
                <w:lang w:val="ro-RO" w:eastAsia="ro-RO"/>
              </w:rPr>
              <w:t>Certificat de garanție de la producător / furnizor / distribuitor</w:t>
            </w:r>
          </w:p>
          <w:p w:rsidR="00C92018" w:rsidRPr="008224CB" w:rsidRDefault="00C92018" w:rsidP="008224CB">
            <w:pPr>
              <w:numPr>
                <w:ilvl w:val="0"/>
                <w:numId w:val="1"/>
              </w:numPr>
              <w:pBdr>
                <w:top w:val="nil"/>
                <w:left w:val="nil"/>
                <w:bottom w:val="nil"/>
                <w:right w:val="nil"/>
                <w:between w:val="nil"/>
              </w:pBdr>
              <w:jc w:val="both"/>
              <w:rPr>
                <w:rFonts w:ascii="Times New Roman" w:eastAsia="Arial" w:hAnsi="Times New Roman" w:cs="Times New Roman"/>
                <w:color w:val="000000"/>
                <w:kern w:val="0"/>
                <w:lang w:val="ro-RO" w:eastAsia="ro-RO"/>
              </w:rPr>
            </w:pPr>
            <w:r w:rsidRPr="008224CB">
              <w:rPr>
                <w:rFonts w:ascii="Times New Roman" w:eastAsia="Arial" w:hAnsi="Times New Roman" w:cs="Times New Roman"/>
                <w:color w:val="000000"/>
                <w:kern w:val="0"/>
                <w:lang w:val="ro-RO" w:eastAsia="ro-RO"/>
              </w:rPr>
              <w:t>Declarația privind respectarea DNSH</w:t>
            </w:r>
          </w:p>
          <w:p w:rsidR="00AF1E8A" w:rsidRPr="008224CB" w:rsidRDefault="00C92018" w:rsidP="008224CB">
            <w:pPr>
              <w:numPr>
                <w:ilvl w:val="0"/>
                <w:numId w:val="1"/>
              </w:numPr>
              <w:pBdr>
                <w:top w:val="nil"/>
                <w:left w:val="nil"/>
                <w:bottom w:val="nil"/>
                <w:right w:val="nil"/>
                <w:between w:val="nil"/>
              </w:pBdr>
              <w:jc w:val="both"/>
              <w:rPr>
                <w:rFonts w:ascii="Times New Roman" w:eastAsia="Arial" w:hAnsi="Times New Roman" w:cs="Times New Roman"/>
                <w:color w:val="000000"/>
                <w:kern w:val="0"/>
                <w:lang w:val="ro-RO" w:eastAsia="ro-RO"/>
              </w:rPr>
            </w:pPr>
            <w:r w:rsidRPr="008224CB">
              <w:rPr>
                <w:rFonts w:ascii="Times New Roman" w:eastAsia="Arial" w:hAnsi="Times New Roman" w:cs="Times New Roman"/>
                <w:color w:val="000000"/>
                <w:kern w:val="0"/>
                <w:lang w:val="ro-RO" w:eastAsia="ro-RO"/>
              </w:rPr>
              <w:t>Ofertantul va prezenta o metodologie care sa descrie modalitatea îndeplinirii criteriului DNSH in executarea contractului, atât din punct de vedere al produselor livrate dar si din punct de vedere al livrării, al colectării ambalajelor rezultate din livrare, precum si gestionarea produselor la sfârșitul ciclului normal de utilizare.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510CE1" w:rsidP="008224CB">
            <w:pPr>
              <w:rPr>
                <w:rFonts w:ascii="Times New Roman" w:hAnsi="Times New Roman" w:cs="Times New Roman"/>
                <w:lang w:val="ro-RO"/>
              </w:rPr>
            </w:pPr>
            <w:r w:rsidRPr="008224CB">
              <w:rPr>
                <w:rFonts w:ascii="Times New Roman" w:eastAsia="Times New Roman" w:hAnsi="Times New Roman" w:cs="Times New Roman"/>
                <w:b/>
                <w:kern w:val="0"/>
                <w:lang w:val="ro-RO" w:eastAsia="ro-RO"/>
              </w:rPr>
              <w:lastRenderedPageBreak/>
              <w:t>Garanție produs</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510CE1"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Garanția se va acorda pentru întregul produs livrat. </w:t>
            </w:r>
            <w:r w:rsidRPr="008224CB">
              <w:rPr>
                <w:rFonts w:ascii="Times New Roman" w:eastAsia="Times New Roman" w:hAnsi="Times New Roman" w:cs="Times New Roman"/>
                <w:b/>
                <w:kern w:val="0"/>
                <w:lang w:val="ro-RO" w:eastAsia="ro-RO"/>
              </w:rPr>
              <w:t xml:space="preserve">Garanția produselor va fi de minim 2 ani (24 de luni) </w:t>
            </w:r>
            <w:r w:rsidRPr="008224CB">
              <w:rPr>
                <w:rFonts w:ascii="Times New Roman" w:eastAsia="Times New Roman" w:hAnsi="Times New Roman" w:cs="Times New Roman"/>
                <w:kern w:val="0"/>
                <w:lang w:val="ro-RO" w:eastAsia="ro-RO"/>
              </w:rPr>
              <w:t xml:space="preserve">de la data recepției cantitative și calitative a acestora, astfel că toate produsele trebuie sa fie acoperite de garanție pentru cel puțin perioada solicitată pentru fiecare produs. </w:t>
            </w:r>
            <w:r w:rsidRPr="008224CB">
              <w:rPr>
                <w:rFonts w:ascii="Times New Roman" w:eastAsia="Times New Roman" w:hAnsi="Times New Roman" w:cs="Times New Roman"/>
                <w:b/>
                <w:kern w:val="0"/>
                <w:lang w:val="ro-RO" w:eastAsia="ro-RO"/>
              </w:rPr>
              <w:t>Nu se acceptă acordarea unei garanții cu o perioada mai mica de 2 ani (24 de luni), o astfel de  oferta va fi considerată neconformă</w:t>
            </w:r>
            <w:r w:rsidRPr="008224CB">
              <w:rPr>
                <w:rFonts w:ascii="Times New Roman" w:eastAsia="Times New Roman" w:hAnsi="Times New Roman" w:cs="Times New Roman"/>
                <w:kern w:val="0"/>
                <w:lang w:val="ro-RO" w:eastAsia="ro-RO"/>
              </w:rPr>
              <w:t>.</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Garanția fiecărui produs rămâne în sarcina Contractantului, chiar dacă acesta a avut un alt furnizor pentru produsele livrate. Contractantul va garanta ca toate produsele furnizate sunt noi, de ultima generație, neutilizate pana la momentul livrării, ne-resigilate, Nere manufacturate.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Garanția trebuie sa asigure faptul ca produsele sunt conforme cu specificațiile contractuale, fără costuri suplimentare. Perioada de garanție, stabilită în Ordinul ANAP nr. 1946 din 9 august 2024, îi sunt aplicabile condițiile OUG 120/2021 privind anumite aspecte referitoare la contractele de vânzare de bunuri. Astfel, garanția trebuie sa acopere toate costurile rezultate din remedierea defectelor în perioada de garanție, inclusiv, dar fără a se limita la:</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prestarea de servicii cu opțiuni de ridicare și returnare sau reparații la fata locului;</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ambalaje, inclusiv furnizarea de material protector pentru transport (carton, cutii, lăzi etc.);</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transport prin intermediul transportatorului, inclusiv de transport internațional (daca este aplicabil);</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lastRenderedPageBreak/>
              <w:t>• diagnoza defectelor, inclusiv costurile de personal;</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înlocuirea părților defecte cu altele noi, sau înlocuirea produsului cu unul nou, în cazul în care produsul defect nu poate fi reparat;</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despachetarea, inclusiv curățarea spatiilor unde se efectuează intervenția;</w:t>
            </w:r>
          </w:p>
          <w:p w:rsidR="00AF1E8A"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montarea în starea finală.</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tbl>
            <w:tblPr>
              <w:tblW w:w="6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17"/>
              <w:gridCol w:w="3118"/>
            </w:tblGrid>
            <w:tr w:rsidR="00381C46" w:rsidRPr="008224CB" w:rsidTr="00381C46">
              <w:trPr>
                <w:trHeight w:val="147"/>
              </w:trPr>
              <w:tc>
                <w:tcPr>
                  <w:tcW w:w="6235" w:type="dxa"/>
                  <w:gridSpan w:val="2"/>
                </w:tcPr>
                <w:p w:rsidR="00381C46" w:rsidRPr="008224CB" w:rsidRDefault="00381C46" w:rsidP="008224CB">
                  <w:pPr>
                    <w:spacing w:after="0"/>
                    <w:jc w:val="both"/>
                    <w:rPr>
                      <w:rFonts w:ascii="Times New Roman" w:hAnsi="Times New Roman" w:cs="Times New Roman"/>
                      <w:lang w:eastAsia="ro-RO"/>
                    </w:rPr>
                  </w:pPr>
                  <w:proofErr w:type="spellStart"/>
                  <w:r w:rsidRPr="008224CB">
                    <w:rPr>
                      <w:rFonts w:ascii="Times New Roman" w:hAnsi="Times New Roman" w:cs="Times New Roman"/>
                      <w:lang w:eastAsia="ro-RO"/>
                    </w:rPr>
                    <w:lastRenderedPageBreak/>
                    <w:t>Timp</w:t>
                  </w:r>
                  <w:proofErr w:type="spellEnd"/>
                  <w:r w:rsidRPr="008224CB">
                    <w:rPr>
                      <w:rFonts w:ascii="Times New Roman" w:hAnsi="Times New Roman" w:cs="Times New Roman"/>
                      <w:lang w:eastAsia="ro-RO"/>
                    </w:rPr>
                    <w:t xml:space="preserve"> de </w:t>
                  </w:r>
                  <w:proofErr w:type="spellStart"/>
                  <w:r w:rsidRPr="008224CB">
                    <w:rPr>
                      <w:rFonts w:ascii="Times New Roman" w:hAnsi="Times New Roman" w:cs="Times New Roman"/>
                      <w:lang w:eastAsia="ro-RO"/>
                    </w:rPr>
                    <w:t>răspuns</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timp</w:t>
                  </w:r>
                  <w:proofErr w:type="spellEnd"/>
                  <w:r w:rsidRPr="008224CB">
                    <w:rPr>
                      <w:rFonts w:ascii="Times New Roman" w:hAnsi="Times New Roman" w:cs="Times New Roman"/>
                      <w:lang w:eastAsia="ro-RO"/>
                    </w:rPr>
                    <w:t xml:space="preserve"> de </w:t>
                  </w:r>
                  <w:proofErr w:type="spellStart"/>
                  <w:r w:rsidRPr="008224CB">
                    <w:rPr>
                      <w:rFonts w:ascii="Times New Roman" w:hAnsi="Times New Roman" w:cs="Times New Roman"/>
                      <w:lang w:eastAsia="ro-RO"/>
                    </w:rPr>
                    <w:t>remediere</w:t>
                  </w:r>
                  <w:proofErr w:type="spellEnd"/>
                  <w:r w:rsidRPr="008224CB">
                    <w:rPr>
                      <w:rFonts w:ascii="Times New Roman" w:hAnsi="Times New Roman" w:cs="Times New Roman"/>
                      <w:lang w:eastAsia="ro-RO"/>
                    </w:rPr>
                    <w:t>/</w:t>
                  </w:r>
                  <w:proofErr w:type="spellStart"/>
                  <w:r w:rsidRPr="008224CB">
                    <w:rPr>
                      <w:rFonts w:ascii="Times New Roman" w:hAnsi="Times New Roman" w:cs="Times New Roman"/>
                      <w:lang w:eastAsia="ro-RO"/>
                    </w:rPr>
                    <w:t>reparare</w:t>
                  </w:r>
                  <w:proofErr w:type="spellEnd"/>
                  <w:r w:rsidRPr="008224CB">
                    <w:rPr>
                      <w:rFonts w:ascii="Times New Roman" w:hAnsi="Times New Roman" w:cs="Times New Roman"/>
                      <w:lang w:eastAsia="ro-RO"/>
                    </w:rPr>
                    <w:t xml:space="preserve"> cu </w:t>
                  </w:r>
                  <w:proofErr w:type="spellStart"/>
                  <w:r w:rsidRPr="008224CB">
                    <w:rPr>
                      <w:rFonts w:ascii="Times New Roman" w:hAnsi="Times New Roman" w:cs="Times New Roman"/>
                      <w:lang w:eastAsia="ro-RO"/>
                    </w:rPr>
                    <w:t>înlocuiri</w:t>
                  </w:r>
                  <w:proofErr w:type="spellEnd"/>
                  <w:r w:rsidRPr="008224CB">
                    <w:rPr>
                      <w:rFonts w:ascii="Times New Roman" w:hAnsi="Times New Roman" w:cs="Times New Roman"/>
                      <w:lang w:eastAsia="ro-RO"/>
                    </w:rPr>
                    <w:t xml:space="preserve"> de </w:t>
                  </w:r>
                  <w:proofErr w:type="spellStart"/>
                  <w:r w:rsidRPr="008224CB">
                    <w:rPr>
                      <w:rFonts w:ascii="Times New Roman" w:hAnsi="Times New Roman" w:cs="Times New Roman"/>
                      <w:lang w:eastAsia="ro-RO"/>
                    </w:rPr>
                    <w:t>piese</w:t>
                  </w:r>
                  <w:proofErr w:type="spellEnd"/>
                  <w:r w:rsidRPr="008224CB">
                    <w:rPr>
                      <w:rFonts w:ascii="Times New Roman" w:hAnsi="Times New Roman" w:cs="Times New Roman"/>
                      <w:lang w:eastAsia="ro-RO"/>
                    </w:rPr>
                    <w:t>/</w:t>
                  </w:r>
                  <w:proofErr w:type="spellStart"/>
                  <w:r w:rsidRPr="008224CB">
                    <w:rPr>
                      <w:rFonts w:ascii="Times New Roman" w:hAnsi="Times New Roman" w:cs="Times New Roman"/>
                      <w:lang w:eastAsia="ro-RO"/>
                    </w:rPr>
                    <w:t>înlocuire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produs</w:t>
                  </w:r>
                  <w:proofErr w:type="spellEnd"/>
                </w:p>
              </w:tc>
            </w:tr>
            <w:tr w:rsidR="00381C46" w:rsidRPr="008224CB" w:rsidTr="00381C46">
              <w:trPr>
                <w:trHeight w:val="240"/>
              </w:trPr>
              <w:tc>
                <w:tcPr>
                  <w:tcW w:w="3117" w:type="dxa"/>
                </w:tcPr>
                <w:p w:rsidR="00381C46" w:rsidRPr="008224CB" w:rsidRDefault="00381C46" w:rsidP="008224CB">
                  <w:pPr>
                    <w:spacing w:after="0"/>
                    <w:jc w:val="both"/>
                    <w:rPr>
                      <w:rFonts w:ascii="Times New Roman" w:hAnsi="Times New Roman" w:cs="Times New Roman"/>
                      <w:lang w:eastAsia="ro-RO"/>
                    </w:rPr>
                  </w:pPr>
                  <w:proofErr w:type="spellStart"/>
                  <w:r w:rsidRPr="008224CB">
                    <w:rPr>
                      <w:rFonts w:ascii="Times New Roman" w:hAnsi="Times New Roman" w:cs="Times New Roman"/>
                      <w:lang w:eastAsia="ro-RO"/>
                    </w:rPr>
                    <w:t>Timp</w:t>
                  </w:r>
                  <w:proofErr w:type="spellEnd"/>
                  <w:r w:rsidRPr="008224CB">
                    <w:rPr>
                      <w:rFonts w:ascii="Times New Roman" w:hAnsi="Times New Roman" w:cs="Times New Roman"/>
                      <w:lang w:eastAsia="ro-RO"/>
                    </w:rPr>
                    <w:t xml:space="preserve"> de </w:t>
                  </w:r>
                  <w:proofErr w:type="spellStart"/>
                  <w:r w:rsidRPr="008224CB">
                    <w:rPr>
                      <w:rFonts w:ascii="Times New Roman" w:hAnsi="Times New Roman" w:cs="Times New Roman"/>
                      <w:lang w:eastAsia="ro-RO"/>
                    </w:rPr>
                    <w:t>răspuns</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constatare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defecțiune</w:t>
                  </w:r>
                  <w:proofErr w:type="spellEnd"/>
                  <w:r w:rsidRPr="008224CB">
                    <w:rPr>
                      <w:rFonts w:ascii="Times New Roman" w:hAnsi="Times New Roman" w:cs="Times New Roman"/>
                      <w:lang w:eastAsia="ro-RO"/>
                    </w:rPr>
                    <w:t xml:space="preserve">) la </w:t>
                  </w:r>
                  <w:proofErr w:type="spellStart"/>
                  <w:r w:rsidRPr="008224CB">
                    <w:rPr>
                      <w:rFonts w:ascii="Times New Roman" w:hAnsi="Times New Roman" w:cs="Times New Roman"/>
                      <w:lang w:eastAsia="ro-RO"/>
                    </w:rPr>
                    <w:t>sesizare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în</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caz</w:t>
                  </w:r>
                  <w:proofErr w:type="spellEnd"/>
                  <w:r w:rsidRPr="008224CB">
                    <w:rPr>
                      <w:rFonts w:ascii="Times New Roman" w:hAnsi="Times New Roman" w:cs="Times New Roman"/>
                      <w:lang w:eastAsia="ro-RO"/>
                    </w:rPr>
                    <w:t xml:space="preserve"> de </w:t>
                  </w:r>
                  <w:proofErr w:type="spellStart"/>
                  <w:r w:rsidRPr="008224CB">
                    <w:rPr>
                      <w:rFonts w:ascii="Times New Roman" w:hAnsi="Times New Roman" w:cs="Times New Roman"/>
                      <w:lang w:eastAsia="ro-RO"/>
                    </w:rPr>
                    <w:t>defecțiune</w:t>
                  </w:r>
                  <w:proofErr w:type="spellEnd"/>
                  <w:r w:rsidRPr="008224CB">
                    <w:rPr>
                      <w:rFonts w:ascii="Times New Roman" w:hAnsi="Times New Roman" w:cs="Times New Roman"/>
                      <w:lang w:eastAsia="ro-RO"/>
                    </w:rPr>
                    <w:t>.</w:t>
                  </w:r>
                </w:p>
              </w:tc>
              <w:tc>
                <w:tcPr>
                  <w:tcW w:w="3118" w:type="dxa"/>
                </w:tcPr>
                <w:p w:rsidR="00381C46" w:rsidRPr="008224CB" w:rsidRDefault="00381C46" w:rsidP="008224CB">
                  <w:pPr>
                    <w:spacing w:after="0"/>
                    <w:jc w:val="both"/>
                    <w:rPr>
                      <w:rFonts w:ascii="Times New Roman" w:hAnsi="Times New Roman" w:cs="Times New Roman"/>
                      <w:lang w:eastAsia="ro-RO"/>
                    </w:rPr>
                  </w:pPr>
                  <w:r w:rsidRPr="008224CB">
                    <w:rPr>
                      <w:rFonts w:ascii="Times New Roman" w:hAnsi="Times New Roman" w:cs="Times New Roman"/>
                      <w:lang w:eastAsia="ro-RO"/>
                    </w:rPr>
                    <w:t xml:space="preserve">Maxim 48 de ore de la </w:t>
                  </w:r>
                  <w:proofErr w:type="spellStart"/>
                  <w:r w:rsidRPr="008224CB">
                    <w:rPr>
                      <w:rFonts w:ascii="Times New Roman" w:hAnsi="Times New Roman" w:cs="Times New Roman"/>
                      <w:lang w:eastAsia="ro-RO"/>
                    </w:rPr>
                    <w:t>sesizarea</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autorității</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contractante</w:t>
                  </w:r>
                  <w:proofErr w:type="spellEnd"/>
                  <w:r w:rsidRPr="008224CB">
                    <w:rPr>
                      <w:rFonts w:ascii="Times New Roman" w:hAnsi="Times New Roman" w:cs="Times New Roman"/>
                      <w:lang w:eastAsia="ro-RO"/>
                    </w:rPr>
                    <w:t>/</w:t>
                  </w:r>
                  <w:proofErr w:type="spellStart"/>
                  <w:r w:rsidRPr="008224CB">
                    <w:rPr>
                      <w:rFonts w:ascii="Times New Roman" w:hAnsi="Times New Roman" w:cs="Times New Roman"/>
                      <w:lang w:eastAsia="ro-RO"/>
                    </w:rPr>
                    <w:t>beneficiarului</w:t>
                  </w:r>
                  <w:proofErr w:type="spellEnd"/>
                  <w:r w:rsidRPr="008224CB">
                    <w:rPr>
                      <w:rFonts w:ascii="Times New Roman" w:hAnsi="Times New Roman" w:cs="Times New Roman"/>
                      <w:lang w:eastAsia="ro-RO"/>
                    </w:rPr>
                    <w:t xml:space="preserve"> final</w:t>
                  </w:r>
                </w:p>
              </w:tc>
            </w:tr>
            <w:tr w:rsidR="00381C46" w:rsidRPr="008224CB" w:rsidTr="00381C46">
              <w:trPr>
                <w:trHeight w:val="244"/>
              </w:trPr>
              <w:tc>
                <w:tcPr>
                  <w:tcW w:w="3117" w:type="dxa"/>
                </w:tcPr>
                <w:p w:rsidR="00381C46" w:rsidRPr="008224CB" w:rsidRDefault="00381C46" w:rsidP="008224CB">
                  <w:pPr>
                    <w:spacing w:after="0"/>
                    <w:jc w:val="both"/>
                    <w:rPr>
                      <w:rFonts w:ascii="Times New Roman" w:hAnsi="Times New Roman" w:cs="Times New Roman"/>
                      <w:lang w:eastAsia="ro-RO"/>
                    </w:rPr>
                  </w:pPr>
                  <w:proofErr w:type="spellStart"/>
                  <w:r w:rsidRPr="008224CB">
                    <w:rPr>
                      <w:rFonts w:ascii="Times New Roman" w:hAnsi="Times New Roman" w:cs="Times New Roman"/>
                      <w:lang w:eastAsia="ro-RO"/>
                    </w:rPr>
                    <w:t>Timp</w:t>
                  </w:r>
                  <w:proofErr w:type="spellEnd"/>
                  <w:r w:rsidRPr="008224CB">
                    <w:rPr>
                      <w:rFonts w:ascii="Times New Roman" w:hAnsi="Times New Roman" w:cs="Times New Roman"/>
                      <w:lang w:eastAsia="ro-RO"/>
                    </w:rPr>
                    <w:t xml:space="preserve"> de </w:t>
                  </w:r>
                  <w:proofErr w:type="spellStart"/>
                  <w:r w:rsidRPr="008224CB">
                    <w:rPr>
                      <w:rFonts w:ascii="Times New Roman" w:hAnsi="Times New Roman" w:cs="Times New Roman"/>
                      <w:lang w:eastAsia="ro-RO"/>
                    </w:rPr>
                    <w:t>remediere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defecțiune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produs</w:t>
                  </w:r>
                  <w:proofErr w:type="spellEnd"/>
                </w:p>
              </w:tc>
              <w:tc>
                <w:tcPr>
                  <w:tcW w:w="3118" w:type="dxa"/>
                </w:tcPr>
                <w:p w:rsidR="00381C46" w:rsidRPr="008224CB" w:rsidRDefault="00381C46" w:rsidP="008224CB">
                  <w:pPr>
                    <w:spacing w:after="0"/>
                    <w:jc w:val="both"/>
                    <w:rPr>
                      <w:rFonts w:ascii="Times New Roman" w:hAnsi="Times New Roman" w:cs="Times New Roman"/>
                      <w:lang w:eastAsia="ro-RO"/>
                    </w:rPr>
                  </w:pPr>
                  <w:r w:rsidRPr="008224CB">
                    <w:rPr>
                      <w:rFonts w:ascii="Times New Roman" w:hAnsi="Times New Roman" w:cs="Times New Roman"/>
                      <w:lang w:eastAsia="ro-RO"/>
                    </w:rPr>
                    <w:t xml:space="preserve">Maxim 72 de ore de la </w:t>
                  </w:r>
                  <w:proofErr w:type="spellStart"/>
                  <w:r w:rsidRPr="008224CB">
                    <w:rPr>
                      <w:rFonts w:ascii="Times New Roman" w:hAnsi="Times New Roman" w:cs="Times New Roman"/>
                      <w:lang w:eastAsia="ro-RO"/>
                    </w:rPr>
                    <w:t>sesizarea</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autorității</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contractante</w:t>
                  </w:r>
                  <w:proofErr w:type="spellEnd"/>
                  <w:r w:rsidRPr="008224CB">
                    <w:rPr>
                      <w:rFonts w:ascii="Times New Roman" w:hAnsi="Times New Roman" w:cs="Times New Roman"/>
                      <w:lang w:eastAsia="ro-RO"/>
                    </w:rPr>
                    <w:t>/</w:t>
                  </w:r>
                  <w:proofErr w:type="spellStart"/>
                  <w:r w:rsidRPr="008224CB">
                    <w:rPr>
                      <w:rFonts w:ascii="Times New Roman" w:hAnsi="Times New Roman" w:cs="Times New Roman"/>
                      <w:lang w:eastAsia="ro-RO"/>
                    </w:rPr>
                    <w:t>beneficiarului</w:t>
                  </w:r>
                  <w:proofErr w:type="spellEnd"/>
                  <w:r w:rsidRPr="008224CB">
                    <w:rPr>
                      <w:rFonts w:ascii="Times New Roman" w:hAnsi="Times New Roman" w:cs="Times New Roman"/>
                      <w:lang w:eastAsia="ro-RO"/>
                    </w:rPr>
                    <w:t xml:space="preserve"> final</w:t>
                  </w:r>
                </w:p>
              </w:tc>
            </w:tr>
            <w:tr w:rsidR="00381C46" w:rsidRPr="008224CB" w:rsidTr="00381C46">
              <w:trPr>
                <w:trHeight w:val="337"/>
              </w:trPr>
              <w:tc>
                <w:tcPr>
                  <w:tcW w:w="3117" w:type="dxa"/>
                </w:tcPr>
                <w:p w:rsidR="00381C46" w:rsidRPr="008224CB" w:rsidRDefault="00381C46" w:rsidP="008224CB">
                  <w:pPr>
                    <w:spacing w:after="0"/>
                    <w:jc w:val="both"/>
                    <w:rPr>
                      <w:rFonts w:ascii="Times New Roman" w:hAnsi="Times New Roman" w:cs="Times New Roman"/>
                      <w:lang w:eastAsia="ro-RO"/>
                    </w:rPr>
                  </w:pPr>
                  <w:proofErr w:type="spellStart"/>
                  <w:r w:rsidRPr="008224CB">
                    <w:rPr>
                      <w:rFonts w:ascii="Times New Roman" w:hAnsi="Times New Roman" w:cs="Times New Roman"/>
                      <w:lang w:eastAsia="ro-RO"/>
                    </w:rPr>
                    <w:t>Timp</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reparare</w:t>
                  </w:r>
                  <w:proofErr w:type="spellEnd"/>
                  <w:r w:rsidRPr="008224CB">
                    <w:rPr>
                      <w:rFonts w:ascii="Times New Roman" w:hAnsi="Times New Roman" w:cs="Times New Roman"/>
                      <w:lang w:eastAsia="ro-RO"/>
                    </w:rPr>
                    <w:t xml:space="preserve"> cu </w:t>
                  </w:r>
                  <w:proofErr w:type="spellStart"/>
                  <w:r w:rsidRPr="008224CB">
                    <w:rPr>
                      <w:rFonts w:ascii="Times New Roman" w:hAnsi="Times New Roman" w:cs="Times New Roman"/>
                      <w:lang w:eastAsia="ro-RO"/>
                    </w:rPr>
                    <w:t>înlocuiri</w:t>
                  </w:r>
                  <w:proofErr w:type="spellEnd"/>
                  <w:r w:rsidRPr="008224CB">
                    <w:rPr>
                      <w:rFonts w:ascii="Times New Roman" w:hAnsi="Times New Roman" w:cs="Times New Roman"/>
                      <w:lang w:eastAsia="ro-RO"/>
                    </w:rPr>
                    <w:t xml:space="preserve"> de piese</w:t>
                  </w:r>
                </w:p>
              </w:tc>
              <w:tc>
                <w:tcPr>
                  <w:tcW w:w="3118" w:type="dxa"/>
                </w:tcPr>
                <w:p w:rsidR="00381C46" w:rsidRPr="008224CB" w:rsidRDefault="00381C46" w:rsidP="008224CB">
                  <w:pPr>
                    <w:spacing w:after="0"/>
                    <w:jc w:val="both"/>
                    <w:rPr>
                      <w:rFonts w:ascii="Times New Roman" w:hAnsi="Times New Roman" w:cs="Times New Roman"/>
                      <w:lang w:eastAsia="ro-RO"/>
                    </w:rPr>
                  </w:pPr>
                  <w:r w:rsidRPr="008224CB">
                    <w:rPr>
                      <w:rFonts w:ascii="Times New Roman" w:hAnsi="Times New Roman" w:cs="Times New Roman"/>
                      <w:lang w:eastAsia="ro-RO"/>
                    </w:rPr>
                    <w:t xml:space="preserve">Maxim 30 </w:t>
                  </w:r>
                  <w:proofErr w:type="spellStart"/>
                  <w:r w:rsidRPr="008224CB">
                    <w:rPr>
                      <w:rFonts w:ascii="Times New Roman" w:hAnsi="Times New Roman" w:cs="Times New Roman"/>
                      <w:lang w:eastAsia="ro-RO"/>
                    </w:rPr>
                    <w:t>zile</w:t>
                  </w:r>
                  <w:proofErr w:type="spellEnd"/>
                  <w:r w:rsidRPr="008224CB">
                    <w:rPr>
                      <w:rFonts w:ascii="Times New Roman" w:hAnsi="Times New Roman" w:cs="Times New Roman"/>
                      <w:lang w:eastAsia="ro-RO"/>
                    </w:rPr>
                    <w:t xml:space="preserve"> de la </w:t>
                  </w:r>
                  <w:proofErr w:type="spellStart"/>
                  <w:r w:rsidRPr="008224CB">
                    <w:rPr>
                      <w:rFonts w:ascii="Times New Roman" w:hAnsi="Times New Roman" w:cs="Times New Roman"/>
                      <w:lang w:eastAsia="ro-RO"/>
                    </w:rPr>
                    <w:t>sesizarea</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autorității</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contractante</w:t>
                  </w:r>
                  <w:proofErr w:type="spellEnd"/>
                  <w:r w:rsidRPr="008224CB">
                    <w:rPr>
                      <w:rFonts w:ascii="Times New Roman" w:hAnsi="Times New Roman" w:cs="Times New Roman"/>
                      <w:lang w:eastAsia="ro-RO"/>
                    </w:rPr>
                    <w:t>/</w:t>
                  </w:r>
                  <w:proofErr w:type="spellStart"/>
                  <w:r w:rsidRPr="008224CB">
                    <w:rPr>
                      <w:rFonts w:ascii="Times New Roman" w:hAnsi="Times New Roman" w:cs="Times New Roman"/>
                      <w:lang w:eastAsia="ro-RO"/>
                    </w:rPr>
                    <w:t>beneficiarului</w:t>
                  </w:r>
                  <w:proofErr w:type="spellEnd"/>
                  <w:r w:rsidRPr="008224CB">
                    <w:rPr>
                      <w:rFonts w:ascii="Times New Roman" w:hAnsi="Times New Roman" w:cs="Times New Roman"/>
                      <w:lang w:eastAsia="ro-RO"/>
                    </w:rPr>
                    <w:t xml:space="preserve"> final </w:t>
                  </w:r>
                  <w:proofErr w:type="spellStart"/>
                  <w:r w:rsidRPr="008224CB">
                    <w:rPr>
                      <w:rFonts w:ascii="Times New Roman" w:hAnsi="Times New Roman" w:cs="Times New Roman"/>
                      <w:lang w:eastAsia="ro-RO"/>
                    </w:rPr>
                    <w:t>pentru</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defecțiuni</w:t>
                  </w:r>
                  <w:proofErr w:type="spellEnd"/>
                  <w:r w:rsidRPr="008224CB">
                    <w:rPr>
                      <w:rFonts w:ascii="Times New Roman" w:hAnsi="Times New Roman" w:cs="Times New Roman"/>
                      <w:lang w:eastAsia="ro-RO"/>
                    </w:rPr>
                    <w:t xml:space="preserve"> care </w:t>
                  </w:r>
                  <w:proofErr w:type="spellStart"/>
                  <w:r w:rsidRPr="008224CB">
                    <w:rPr>
                      <w:rFonts w:ascii="Times New Roman" w:hAnsi="Times New Roman" w:cs="Times New Roman"/>
                      <w:lang w:eastAsia="ro-RO"/>
                    </w:rPr>
                    <w:t>necesită</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înlocuiri</w:t>
                  </w:r>
                  <w:proofErr w:type="spellEnd"/>
                  <w:r w:rsidRPr="008224CB">
                    <w:rPr>
                      <w:rFonts w:ascii="Times New Roman" w:hAnsi="Times New Roman" w:cs="Times New Roman"/>
                      <w:lang w:eastAsia="ro-RO"/>
                    </w:rPr>
                    <w:t xml:space="preserve"> de </w:t>
                  </w:r>
                  <w:proofErr w:type="spellStart"/>
                  <w:r w:rsidRPr="008224CB">
                    <w:rPr>
                      <w:rFonts w:ascii="Times New Roman" w:hAnsi="Times New Roman" w:cs="Times New Roman"/>
                      <w:lang w:eastAsia="ro-RO"/>
                    </w:rPr>
                    <w:t>piese</w:t>
                  </w:r>
                  <w:proofErr w:type="spellEnd"/>
                  <w:r w:rsidRPr="008224CB">
                    <w:rPr>
                      <w:rFonts w:ascii="Times New Roman" w:hAnsi="Times New Roman" w:cs="Times New Roman"/>
                      <w:lang w:eastAsia="ro-RO"/>
                    </w:rPr>
                    <w:t>/</w:t>
                  </w:r>
                  <w:proofErr w:type="spellStart"/>
                  <w:r w:rsidRPr="008224CB">
                    <w:rPr>
                      <w:rFonts w:ascii="Times New Roman" w:hAnsi="Times New Roman" w:cs="Times New Roman"/>
                      <w:lang w:eastAsia="ro-RO"/>
                    </w:rPr>
                    <w:t>subansamble</w:t>
                  </w:r>
                  <w:proofErr w:type="spellEnd"/>
                  <w:r w:rsidRPr="008224CB">
                    <w:rPr>
                      <w:rFonts w:ascii="Times New Roman" w:hAnsi="Times New Roman" w:cs="Times New Roman"/>
                      <w:lang w:eastAsia="ro-RO"/>
                    </w:rPr>
                    <w:t>.</w:t>
                  </w:r>
                </w:p>
              </w:tc>
            </w:tr>
            <w:tr w:rsidR="00381C46" w:rsidRPr="008224CB" w:rsidTr="00381C46">
              <w:trPr>
                <w:trHeight w:val="240"/>
              </w:trPr>
              <w:tc>
                <w:tcPr>
                  <w:tcW w:w="3117" w:type="dxa"/>
                </w:tcPr>
                <w:p w:rsidR="00381C46" w:rsidRPr="008224CB" w:rsidRDefault="00381C46" w:rsidP="008224CB">
                  <w:pPr>
                    <w:spacing w:after="0"/>
                    <w:jc w:val="both"/>
                    <w:rPr>
                      <w:rFonts w:ascii="Times New Roman" w:hAnsi="Times New Roman" w:cs="Times New Roman"/>
                      <w:lang w:eastAsia="ro-RO"/>
                    </w:rPr>
                  </w:pPr>
                  <w:proofErr w:type="spellStart"/>
                  <w:r w:rsidRPr="008224CB">
                    <w:rPr>
                      <w:rFonts w:ascii="Times New Roman" w:hAnsi="Times New Roman" w:cs="Times New Roman"/>
                      <w:lang w:eastAsia="ro-RO"/>
                    </w:rPr>
                    <w:t>Înlocuire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produs</w:t>
                  </w:r>
                  <w:proofErr w:type="spellEnd"/>
                  <w:r w:rsidRPr="008224CB">
                    <w:rPr>
                      <w:rFonts w:ascii="Times New Roman" w:hAnsi="Times New Roman" w:cs="Times New Roman"/>
                      <w:lang w:eastAsia="ro-RO"/>
                    </w:rPr>
                    <w:t xml:space="preserve"> cu </w:t>
                  </w:r>
                  <w:proofErr w:type="spellStart"/>
                  <w:r w:rsidRPr="008224CB">
                    <w:rPr>
                      <w:rFonts w:ascii="Times New Roman" w:hAnsi="Times New Roman" w:cs="Times New Roman"/>
                      <w:lang w:eastAsia="ro-RO"/>
                    </w:rPr>
                    <w:t>unul</w:t>
                  </w:r>
                  <w:proofErr w:type="spellEnd"/>
                  <w:r w:rsidRPr="008224CB">
                    <w:rPr>
                      <w:rFonts w:ascii="Times New Roman" w:hAnsi="Times New Roman" w:cs="Times New Roman"/>
                      <w:lang w:eastAsia="ro-RO"/>
                    </w:rPr>
                    <w:t xml:space="preserve"> nou.</w:t>
                  </w:r>
                </w:p>
              </w:tc>
              <w:tc>
                <w:tcPr>
                  <w:tcW w:w="3118" w:type="dxa"/>
                </w:tcPr>
                <w:p w:rsidR="00381C46" w:rsidRPr="008224CB" w:rsidRDefault="00381C46" w:rsidP="008224CB">
                  <w:pPr>
                    <w:spacing w:after="0"/>
                    <w:jc w:val="both"/>
                    <w:rPr>
                      <w:rFonts w:ascii="Times New Roman" w:hAnsi="Times New Roman" w:cs="Times New Roman"/>
                      <w:lang w:eastAsia="ro-RO"/>
                    </w:rPr>
                  </w:pPr>
                  <w:r w:rsidRPr="008224CB">
                    <w:rPr>
                      <w:rFonts w:ascii="Times New Roman" w:hAnsi="Times New Roman" w:cs="Times New Roman"/>
                      <w:lang w:eastAsia="ro-RO"/>
                    </w:rPr>
                    <w:t xml:space="preserve">Se </w:t>
                  </w:r>
                  <w:proofErr w:type="spellStart"/>
                  <w:r w:rsidRPr="008224CB">
                    <w:rPr>
                      <w:rFonts w:ascii="Times New Roman" w:hAnsi="Times New Roman" w:cs="Times New Roman"/>
                      <w:lang w:eastAsia="ro-RO"/>
                    </w:rPr>
                    <w:t>înlocuiește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produsul</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dacă</w:t>
                  </w:r>
                  <w:proofErr w:type="spellEnd"/>
                  <w:r w:rsidRPr="008224CB">
                    <w:rPr>
                      <w:rFonts w:ascii="Times New Roman" w:hAnsi="Times New Roman" w:cs="Times New Roman"/>
                      <w:lang w:eastAsia="ro-RO"/>
                    </w:rPr>
                    <w:t xml:space="preserve"> nu </w:t>
                  </w:r>
                  <w:proofErr w:type="spellStart"/>
                  <w:r w:rsidRPr="008224CB">
                    <w:rPr>
                      <w:rFonts w:ascii="Times New Roman" w:hAnsi="Times New Roman" w:cs="Times New Roman"/>
                      <w:lang w:eastAsia="ro-RO"/>
                    </w:rPr>
                    <w:t>poate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fi</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reparat</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în</w:t>
                  </w:r>
                  <w:proofErr w:type="spellEnd"/>
                  <w:r w:rsidRPr="008224CB">
                    <w:rPr>
                      <w:rFonts w:ascii="Times New Roman" w:hAnsi="Times New Roman" w:cs="Times New Roman"/>
                      <w:lang w:eastAsia="ro-RO"/>
                    </w:rPr>
                    <w:t xml:space="preserve"> 30 de zile.</w:t>
                  </w:r>
                </w:p>
              </w:tc>
            </w:tr>
            <w:tr w:rsidR="00381C46" w:rsidRPr="008224CB" w:rsidTr="00381C46">
              <w:trPr>
                <w:trHeight w:val="429"/>
              </w:trPr>
              <w:tc>
                <w:tcPr>
                  <w:tcW w:w="3117" w:type="dxa"/>
                </w:tcPr>
                <w:p w:rsidR="00381C46" w:rsidRPr="008224CB" w:rsidRDefault="00381C46" w:rsidP="008224CB">
                  <w:pPr>
                    <w:spacing w:after="0"/>
                    <w:jc w:val="both"/>
                    <w:rPr>
                      <w:rFonts w:ascii="Times New Roman" w:hAnsi="Times New Roman" w:cs="Times New Roman"/>
                      <w:lang w:eastAsia="ro-RO"/>
                    </w:rPr>
                  </w:pPr>
                  <w:proofErr w:type="spellStart"/>
                  <w:r w:rsidRPr="008224CB">
                    <w:rPr>
                      <w:rFonts w:ascii="Times New Roman" w:hAnsi="Times New Roman" w:cs="Times New Roman"/>
                      <w:lang w:eastAsia="ro-RO"/>
                    </w:rPr>
                    <w:t>Înlocuire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produs</w:t>
                  </w:r>
                  <w:proofErr w:type="spellEnd"/>
                  <w:r w:rsidRPr="008224CB">
                    <w:rPr>
                      <w:rFonts w:ascii="Times New Roman" w:hAnsi="Times New Roman" w:cs="Times New Roman"/>
                      <w:lang w:eastAsia="ro-RO"/>
                    </w:rPr>
                    <w:t xml:space="preserve"> cu </w:t>
                  </w:r>
                  <w:proofErr w:type="spellStart"/>
                  <w:r w:rsidRPr="008224CB">
                    <w:rPr>
                      <w:rFonts w:ascii="Times New Roman" w:hAnsi="Times New Roman" w:cs="Times New Roman"/>
                      <w:lang w:eastAsia="ro-RO"/>
                    </w:rPr>
                    <w:t>unul</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nou</w:t>
                  </w:r>
                  <w:proofErr w:type="spellEnd"/>
                  <w:r w:rsidRPr="008224CB">
                    <w:rPr>
                      <w:rFonts w:ascii="Times New Roman" w:hAnsi="Times New Roman" w:cs="Times New Roman"/>
                      <w:lang w:eastAsia="ro-RO"/>
                    </w:rPr>
                    <w:t xml:space="preserve"> (la </w:t>
                  </w:r>
                  <w:proofErr w:type="spellStart"/>
                  <w:r w:rsidRPr="008224CB">
                    <w:rPr>
                      <w:rFonts w:ascii="Times New Roman" w:hAnsi="Times New Roman" w:cs="Times New Roman"/>
                      <w:lang w:eastAsia="ro-RO"/>
                    </w:rPr>
                    <w:t>recepție</w:t>
                  </w:r>
                  <w:proofErr w:type="spellEnd"/>
                  <w:r w:rsidRPr="008224CB">
                    <w:rPr>
                      <w:rFonts w:ascii="Times New Roman" w:hAnsi="Times New Roman" w:cs="Times New Roman"/>
                      <w:lang w:eastAsia="ro-RO"/>
                    </w:rPr>
                    <w:t>).</w:t>
                  </w:r>
                </w:p>
              </w:tc>
              <w:tc>
                <w:tcPr>
                  <w:tcW w:w="3118" w:type="dxa"/>
                </w:tcPr>
                <w:p w:rsidR="00381C46" w:rsidRPr="008224CB" w:rsidRDefault="00381C46" w:rsidP="008224CB">
                  <w:pPr>
                    <w:spacing w:after="0"/>
                    <w:jc w:val="both"/>
                    <w:rPr>
                      <w:rFonts w:ascii="Times New Roman" w:hAnsi="Times New Roman" w:cs="Times New Roman"/>
                      <w:lang w:eastAsia="ro-RO"/>
                    </w:rPr>
                  </w:pPr>
                  <w:r w:rsidRPr="008224CB">
                    <w:rPr>
                      <w:rFonts w:ascii="Times New Roman" w:hAnsi="Times New Roman" w:cs="Times New Roman"/>
                      <w:lang w:eastAsia="ro-RO"/>
                    </w:rPr>
                    <w:t xml:space="preserve">Se </w:t>
                  </w:r>
                  <w:proofErr w:type="spellStart"/>
                  <w:r w:rsidRPr="008224CB">
                    <w:rPr>
                      <w:rFonts w:ascii="Times New Roman" w:hAnsi="Times New Roman" w:cs="Times New Roman"/>
                      <w:lang w:eastAsia="ro-RO"/>
                    </w:rPr>
                    <w:t>înlocuiește</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produsul</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dacă</w:t>
                  </w:r>
                  <w:proofErr w:type="spellEnd"/>
                  <w:r w:rsidRPr="008224CB">
                    <w:rPr>
                      <w:rFonts w:ascii="Times New Roman" w:hAnsi="Times New Roman" w:cs="Times New Roman"/>
                      <w:lang w:eastAsia="ro-RO"/>
                    </w:rPr>
                    <w:t xml:space="preserve"> la </w:t>
                  </w:r>
                  <w:proofErr w:type="spellStart"/>
                  <w:r w:rsidRPr="008224CB">
                    <w:rPr>
                      <w:rFonts w:ascii="Times New Roman" w:hAnsi="Times New Roman" w:cs="Times New Roman"/>
                      <w:lang w:eastAsia="ro-RO"/>
                    </w:rPr>
                    <w:t>recepție</w:t>
                  </w:r>
                  <w:proofErr w:type="spellEnd"/>
                  <w:r w:rsidRPr="008224CB">
                    <w:rPr>
                      <w:rFonts w:ascii="Times New Roman" w:hAnsi="Times New Roman" w:cs="Times New Roman"/>
                      <w:lang w:eastAsia="ro-RO"/>
                    </w:rPr>
                    <w:t xml:space="preserve"> se </w:t>
                  </w:r>
                  <w:proofErr w:type="spellStart"/>
                  <w:r w:rsidRPr="008224CB">
                    <w:rPr>
                      <w:rFonts w:ascii="Times New Roman" w:hAnsi="Times New Roman" w:cs="Times New Roman"/>
                      <w:lang w:eastAsia="ro-RO"/>
                    </w:rPr>
                    <w:t>constată</w:t>
                  </w:r>
                  <w:proofErr w:type="spellEnd"/>
                  <w:r w:rsidRPr="008224CB">
                    <w:rPr>
                      <w:rFonts w:ascii="Times New Roman" w:hAnsi="Times New Roman" w:cs="Times New Roman"/>
                      <w:lang w:eastAsia="ro-RO"/>
                    </w:rPr>
                    <w:t xml:space="preserve"> </w:t>
                  </w:r>
                  <w:proofErr w:type="spellStart"/>
                  <w:r w:rsidRPr="008224CB">
                    <w:rPr>
                      <w:rFonts w:ascii="Times New Roman" w:hAnsi="Times New Roman" w:cs="Times New Roman"/>
                      <w:lang w:eastAsia="ro-RO"/>
                    </w:rPr>
                    <w:t>că</w:t>
                  </w:r>
                  <w:proofErr w:type="spellEnd"/>
                  <w:r w:rsidRPr="008224CB">
                    <w:rPr>
                      <w:rFonts w:ascii="Times New Roman" w:hAnsi="Times New Roman" w:cs="Times New Roman"/>
                      <w:lang w:eastAsia="ro-RO"/>
                    </w:rPr>
                    <w:t xml:space="preserve"> nu respectă specificațiile tehnice/cerințele funcționale din fișele tehnice ale produselor aferente caietului de sarcini.</w:t>
                  </w:r>
                </w:p>
              </w:tc>
            </w:tr>
          </w:tbl>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unde:</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b/>
                <w:kern w:val="0"/>
                <w:lang w:val="ro-RO" w:eastAsia="ro-RO"/>
              </w:rPr>
              <w:t>Sesizare</w:t>
            </w:r>
            <w:r w:rsidRPr="008224CB">
              <w:rPr>
                <w:rFonts w:ascii="Times New Roman" w:eastAsia="Times New Roman" w:hAnsi="Times New Roman" w:cs="Times New Roman"/>
                <w:kern w:val="0"/>
                <w:lang w:val="ro-RO" w:eastAsia="ro-RO"/>
              </w:rPr>
              <w:t>. Sesizarea se realizează în scris de către autoritatea contractantă/beneficiarul final și se transmite contractantului prin e-mail/poștă/curierat. Sesizarea va conține o descriere a defecțiunii, însoțită de imagini relevante ale defecțiunii (dacă este cazul).</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b/>
                <w:kern w:val="0"/>
                <w:lang w:val="ro-RO" w:eastAsia="ro-RO"/>
              </w:rPr>
              <w:t>Defecțiune</w:t>
            </w:r>
            <w:r w:rsidRPr="008224CB">
              <w:rPr>
                <w:rFonts w:ascii="Times New Roman" w:eastAsia="Times New Roman" w:hAnsi="Times New Roman" w:cs="Times New Roman"/>
                <w:kern w:val="0"/>
                <w:lang w:val="ro-RO" w:eastAsia="ro-RO"/>
              </w:rPr>
              <w:t xml:space="preserve">. Noțiunea de defect trebuie interpretată ca un comportament al produsului diferit de parametrii agreat de părți, având ca referință pentru </w:t>
            </w:r>
            <w:r w:rsidRPr="008224CB">
              <w:rPr>
                <w:rFonts w:ascii="Times New Roman" w:eastAsia="Times New Roman" w:hAnsi="Times New Roman" w:cs="Times New Roman"/>
                <w:kern w:val="0"/>
                <w:lang w:val="ro-RO" w:eastAsia="ro-RO"/>
              </w:rPr>
              <w:lastRenderedPageBreak/>
              <w:t>stabilirea defectelor specificațiile tehnice/cerințele funcționale din fișele tehnice ale produselor aferente caietului de sarcini.</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În cazul în care produsul/produsele defecte, pe perioada de garanție, în urma diagnosticării se constată că nu pot fi reparate în termen de 72 ore, contractantul este obligat să înlocuiască (până la returnarea produsului reparat) produsul respectiv cu un produs similar ca și caracteristici tehnice în termen de maxim 3 zile de la constatare, pentru a nu perturba activitatea didactică.</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În cazul defectării în garanție a produsului, termenul de garanție se va prelungi cu perioada de timp cât acesta a fost imobilizat la producător /service pentru reparație.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rPr>
                <w:rFonts w:ascii="Times New Roman" w:hAnsi="Times New Roman" w:cs="Times New Roman"/>
                <w:lang w:val="ro-RO"/>
              </w:rPr>
            </w:pPr>
            <w:r w:rsidRPr="008224CB">
              <w:rPr>
                <w:rFonts w:ascii="Times New Roman" w:eastAsia="Times New Roman" w:hAnsi="Times New Roman" w:cs="Times New Roman"/>
                <w:b/>
                <w:kern w:val="0"/>
                <w:lang w:val="ro-RO" w:eastAsia="ro-RO"/>
              </w:rPr>
              <w:lastRenderedPageBreak/>
              <w:t>Livrare, ambalare, etichetare, transport</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b/>
                <w:bCs/>
                <w:kern w:val="0"/>
                <w:lang w:val="ro-RO" w:eastAsia="ro-RO"/>
              </w:rPr>
            </w:pPr>
            <w:r w:rsidRPr="008224CB">
              <w:rPr>
                <w:rFonts w:ascii="Times New Roman" w:eastAsia="Times New Roman" w:hAnsi="Times New Roman" w:cs="Times New Roman"/>
                <w:b/>
                <w:kern w:val="0"/>
                <w:lang w:val="ro-RO" w:eastAsia="ro-RO"/>
              </w:rPr>
              <w:t xml:space="preserve">Livrare. </w:t>
            </w:r>
            <w:r w:rsidRPr="008224CB">
              <w:rPr>
                <w:rFonts w:ascii="Times New Roman" w:eastAsia="Times New Roman" w:hAnsi="Times New Roman" w:cs="Times New Roman"/>
                <w:b/>
                <w:bCs/>
                <w:kern w:val="0"/>
                <w:lang w:val="ro-RO" w:eastAsia="ro-RO"/>
              </w:rPr>
              <w:t>Termen de livrare, montare produse</w:t>
            </w:r>
          </w:p>
          <w:p w:rsidR="00AF1E8A"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Livrarea și montajul/asamblarea produselor se va efectua de către operatorul economic declarat câștigător cu resursele proprii și pe cheltuiala acestuia la fiecare unitate de învățământ menționată în prezentul  caiet de sarcini.</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Termenul de livrare și montaj al produselor la sediile unităților de învățământ, menționate mai jos, este de maximum </w:t>
            </w:r>
            <w:r w:rsidRPr="008224CB">
              <w:rPr>
                <w:rFonts w:ascii="Times New Roman" w:eastAsia="Times New Roman" w:hAnsi="Times New Roman" w:cs="Times New Roman"/>
                <w:b/>
                <w:kern w:val="0"/>
                <w:lang w:val="ro-RO" w:eastAsia="ro-RO"/>
              </w:rPr>
              <w:t>30 de zile</w:t>
            </w:r>
            <w:r w:rsidRPr="008224CB">
              <w:rPr>
                <w:rFonts w:ascii="Times New Roman" w:eastAsia="Times New Roman" w:hAnsi="Times New Roman" w:cs="Times New Roman"/>
                <w:kern w:val="0"/>
                <w:lang w:val="ro-RO" w:eastAsia="ro-RO"/>
              </w:rPr>
              <w:t xml:space="preserve"> calendaristice de la data comenzii ferme emisă de autoritatea contractantă.</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Pentru derularea proceselor de livrare, în cadrul propunerii tehnice, furnizorul va prezenta un grafic de livrare și montaj, ce trebuie să se încadreze în termenul de livrare convenit. Graficul de livrare reprezintă eșalonarea fizică și valorică a livrărilor de produse din Contract stabilită în corelație cu data semnării Contractului și conține datele exacte pentru toate termenele și/sau Punctele de Reper, astfel cum sunt acestea determinate pentru toate activitățile din Contract.</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Furnizorul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Dacă perioada de livrare se va suprapune cu desfășurarea anului școlar, sau la sediul beneficiarului final se efectuează lucrări de reabilitare </w:t>
            </w:r>
            <w:r w:rsidRPr="008224CB">
              <w:rPr>
                <w:rFonts w:ascii="Times New Roman" w:eastAsia="Times New Roman" w:hAnsi="Times New Roman" w:cs="Times New Roman"/>
                <w:kern w:val="0"/>
                <w:lang w:val="ro-RO" w:eastAsia="ro-RO"/>
              </w:rPr>
              <w:lastRenderedPageBreak/>
              <w:t>care pot împiedica buna desfășurare a operațiilor de livrare și montaj, se va modifica graficul de livrare și montaj în baza unui act adițional la contract, agreat și semnat cu acordul ambelor părți (autoritatea contractantă și contractant), fără costuri suplimentare pentru autoritatea contractantă.</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lastRenderedPageBreak/>
              <w:t>Ofertantul va prezenta un Grafic de livrare și furnizare al produselor ofertate în cadrul propunerii tehnice. Autoritatea contractantă recomandă întocmirea Graficului de livrare și furnizare astfel încât să furnizeze toate produsele aferente unui beneficiar real.</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Produsele vor fi livrate cu următoarele documente, însă fără a se limita la acestea, după caz:</w:t>
            </w:r>
          </w:p>
          <w:p w:rsidR="00381C46" w:rsidRPr="008224CB" w:rsidRDefault="00381C46" w:rsidP="008224CB">
            <w:pPr>
              <w:jc w:val="both"/>
              <w:rPr>
                <w:rFonts w:ascii="Times New Roman" w:eastAsia="Times New Roman" w:hAnsi="Times New Roman" w:cs="Times New Roman"/>
                <w:kern w:val="0"/>
                <w:lang w:val="ro-RO" w:eastAsia="ro-RO"/>
              </w:rPr>
            </w:pPr>
            <w:r w:rsidRPr="00113278">
              <w:rPr>
                <w:rFonts w:ascii="Times New Roman" w:eastAsia="Times New Roman" w:hAnsi="Times New Roman" w:cs="Times New Roman"/>
                <w:bCs/>
                <w:kern w:val="0"/>
                <w:lang w:val="ro-RO" w:eastAsia="ro-RO"/>
              </w:rPr>
              <w:t>a</w:t>
            </w:r>
            <w:r w:rsidRPr="00113278">
              <w:rPr>
                <w:rFonts w:ascii="Times New Roman" w:eastAsia="Times New Roman" w:hAnsi="Times New Roman" w:cs="Times New Roman"/>
                <w:kern w:val="0"/>
                <w:lang w:val="ro-RO" w:eastAsia="ro-RO"/>
              </w:rPr>
              <w:t>)</w:t>
            </w:r>
            <w:r w:rsidRPr="008224CB">
              <w:rPr>
                <w:rFonts w:ascii="Times New Roman" w:eastAsia="Times New Roman" w:hAnsi="Times New Roman" w:cs="Times New Roman"/>
                <w:kern w:val="0"/>
                <w:lang w:val="ro-RO" w:eastAsia="ro-RO"/>
              </w:rPr>
              <w:t xml:space="preserve"> Aviz de însoțire/avizul de expediție;</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b) Certificat de garanție; </w:t>
            </w:r>
          </w:p>
          <w:p w:rsidR="00AF1E8A" w:rsidRPr="008224CB" w:rsidRDefault="00381C46" w:rsidP="008224CB">
            <w:pPr>
              <w:jc w:val="both"/>
              <w:rPr>
                <w:rFonts w:ascii="Times New Roman" w:eastAsia="Times New Roman" w:hAnsi="Times New Roman" w:cs="Times New Roman"/>
                <w:b/>
                <w:bCs/>
                <w:kern w:val="0"/>
                <w:lang w:val="ro-RO" w:eastAsia="ro-RO"/>
              </w:rPr>
            </w:pPr>
            <w:r w:rsidRPr="008224CB">
              <w:rPr>
                <w:rFonts w:ascii="Times New Roman" w:eastAsia="Times New Roman" w:hAnsi="Times New Roman" w:cs="Times New Roman"/>
                <w:kern w:val="0"/>
                <w:lang w:val="ro-RO" w:eastAsia="ro-RO"/>
              </w:rPr>
              <w:t>c) Declarație de conformitate sau alte documente care să ateste conformitatea produsului cu toate cerințele legale aplicabile conform Legii nr. 608/2001 privind evaluarea conformității produselor cu modificările și completările ulterioare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jc w:val="both"/>
              <w:rPr>
                <w:rFonts w:ascii="Times New Roman" w:eastAsia="Times New Roman" w:hAnsi="Times New Roman" w:cs="Times New Roman"/>
                <w:b/>
                <w:kern w:val="0"/>
                <w:lang w:val="ro-RO" w:eastAsia="ro-RO"/>
              </w:rPr>
            </w:pPr>
            <w:r w:rsidRPr="008224CB">
              <w:rPr>
                <w:rFonts w:ascii="Times New Roman" w:eastAsia="Times New Roman" w:hAnsi="Times New Roman" w:cs="Times New Roman"/>
                <w:b/>
                <w:kern w:val="0"/>
                <w:lang w:val="ro-RO" w:eastAsia="ro-RO"/>
              </w:rPr>
              <w:t>Ambalare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Produsele vor fi ambalate corespunzător pentru a fi livrate Beneficiarului și trebuie să respecte cerințele cadrului legal aplicabil, astfel încât să se poată derula în condiții de siguranță operațiile de livrare și montaj /asamblare în perimetrul unităților de învățământ.</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Ambalajul se va marca corespunzător în vederea manipulării corecte. Furnizorul are obligația de a ambala produsele pentru ca acestea să facă față la manipularea din timpul transportului, tranzitului și expunerii la temperaturi extreme, sării și la precipitațiile care ar putea sa apară în timpul transportului și depozitarii în aer liber (dacă e cazul) în așa fel încât să ajungă în stare corespunzătoare la destinația finală .</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jc w:val="both"/>
              <w:rPr>
                <w:rFonts w:ascii="Times New Roman" w:eastAsia="Times New Roman" w:hAnsi="Times New Roman" w:cs="Times New Roman"/>
                <w:b/>
                <w:kern w:val="0"/>
                <w:lang w:val="ro-RO" w:eastAsia="ro-RO"/>
              </w:rPr>
            </w:pPr>
            <w:r w:rsidRPr="008224CB">
              <w:rPr>
                <w:rFonts w:ascii="Times New Roman" w:eastAsia="Times New Roman" w:hAnsi="Times New Roman" w:cs="Times New Roman"/>
                <w:b/>
                <w:kern w:val="0"/>
                <w:lang w:val="ro-RO" w:eastAsia="ro-RO"/>
              </w:rPr>
              <w:t>Transportul</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Transportul produselor se va face pana în locațiile desemnate de Achizitor prin contract, pe răspunderea și pe costurile Contractantului, inclusiv prin suportarea tuturor taxelor legale și asigurarea de transport.</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rPr>
                <w:rFonts w:ascii="Times New Roman" w:hAnsi="Times New Roman" w:cs="Times New Roman"/>
                <w:lang w:val="ro-RO"/>
              </w:rPr>
            </w:pPr>
            <w:r w:rsidRPr="008224CB">
              <w:rPr>
                <w:rFonts w:ascii="Times New Roman" w:eastAsia="Times New Roman" w:hAnsi="Times New Roman" w:cs="Times New Roman"/>
                <w:kern w:val="0"/>
                <w:lang w:val="ro-RO" w:eastAsia="ro-RO"/>
              </w:rPr>
              <w:t xml:space="preserve">Transportul și toate costurile asociate sunt în sarcina exclusiva a contractantului, inclusiv asigurarea produselor împotriva pierderii sau </w:t>
            </w:r>
            <w:r w:rsidRPr="008224CB">
              <w:rPr>
                <w:rFonts w:ascii="Times New Roman" w:eastAsia="Times New Roman" w:hAnsi="Times New Roman" w:cs="Times New Roman"/>
                <w:kern w:val="0"/>
                <w:lang w:val="ro-RO" w:eastAsia="ro-RO"/>
              </w:rPr>
              <w:lastRenderedPageBreak/>
              <w:t>deteriorării intervenite pe parcursul transportului și cauzate de orice factor extern</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lastRenderedPageBreak/>
              <w:t xml:space="preserve">Destinația de livrare este: MUNICIPIUL CÂMPULUNG - Locații cf. Anexa </w:t>
            </w:r>
          </w:p>
          <w:p w:rsidR="00AF1E8A"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rPr>
                <w:rFonts w:ascii="Times New Roman" w:hAnsi="Times New Roman" w:cs="Times New Roman"/>
                <w:lang w:val="ro-RO"/>
              </w:rPr>
            </w:pPr>
            <w:r w:rsidRPr="008224CB">
              <w:rPr>
                <w:rFonts w:ascii="Times New Roman" w:eastAsia="Times New Roman" w:hAnsi="Times New Roman" w:cs="Times New Roman"/>
                <w:b/>
                <w:kern w:val="0"/>
                <w:lang w:val="ro-RO" w:eastAsia="ro-RO"/>
              </w:rPr>
              <w:t>Montaj /asamblare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Furnizorul rămâne responsabil pentru protejarea produselor luând toate măsurile adecvate pentru a preveni lovituri, zgârieturi și alte deteriorări, până la recepția de către autoritatea contractantă/beneficiar final. Finalizarea operațiilor de livrare se va confirma prin întocmirea între părți a unui proces verbal de recepție calitativă - cantitativă.</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rPr>
                <w:rFonts w:ascii="Times New Roman" w:hAnsi="Times New Roman" w:cs="Times New Roman"/>
                <w:lang w:val="ro-RO"/>
              </w:rPr>
            </w:pPr>
            <w:r w:rsidRPr="008224CB">
              <w:rPr>
                <w:rFonts w:ascii="Times New Roman" w:eastAsia="Times New Roman" w:hAnsi="Times New Roman" w:cs="Times New Roman"/>
                <w:b/>
                <w:kern w:val="0"/>
                <w:lang w:val="ro-RO" w:eastAsia="ro-RO"/>
              </w:rPr>
              <w:t>Recepția produselor</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381C46">
        <w:trPr>
          <w:trHeight w:val="863"/>
        </w:trPr>
        <w:tc>
          <w:tcPr>
            <w:tcW w:w="6974" w:type="dxa"/>
          </w:tcPr>
          <w:p w:rsidR="00381C46"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În funcție de progresul contractului la livrarea produselor la un beneficiar real se va întocmi un proces verbal de recepție cantitativă, semnat de ambele părți. După recepția cantitativă contractantul va asigura montajul/asamblarea produselor la beneficiarul final în vederea efectuării recepției calitative.</w:t>
            </w:r>
          </w:p>
          <w:p w:rsidR="00AF1E8A"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Recepția calitativă se va efectua la finalizarea operațiilor de livrare, montaj și asamblare a produselor, în cantitatea solicitată, pentru fiecare beneficiar real.</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u w:val="single"/>
                <w:lang w:val="ro-RO" w:eastAsia="ro-RO"/>
              </w:rPr>
              <w:t>Notă privind recepția calitativă</w:t>
            </w:r>
          </w:p>
          <w:p w:rsidR="00381C46" w:rsidRPr="008224CB" w:rsidRDefault="00381C46" w:rsidP="008224CB">
            <w:p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Dacă produsele livrate nu corespund cu cele din oferta depusă (denumire comercială, specificații tehnice), Autoritatea Contractanta are dreptul sa le respingă, iar furnizorul are obligația, fără a modifica prețul contractului, să înlocuiască produsele refuzate cu produse care să corespundă specificațiilor tehnice ofertate. Furnizorul are obligația ca în termen de maxim 5 zile lucrătoare de la sesizarea scrisă a beneficiarului să le înlocuiască pe cele neconforme cu suportarea tuturor cheltuielilor aferente. După soluționarea eventualelor neconformități se va încheia procesul verbal de recepție cantitativă, semnat de reprezentanții ambelor părți.</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Procesul verbal de recepție calitativă va include unul din următoarele </w:t>
            </w:r>
            <w:r w:rsidRPr="008224CB">
              <w:rPr>
                <w:rFonts w:ascii="Times New Roman" w:eastAsia="Times New Roman" w:hAnsi="Times New Roman" w:cs="Times New Roman"/>
                <w:kern w:val="0"/>
                <w:lang w:val="ro-RO" w:eastAsia="ro-RO"/>
              </w:rPr>
              <w:lastRenderedPageBreak/>
              <w:t>rezultate:</w:t>
            </w:r>
          </w:p>
          <w:p w:rsidR="00381C46" w:rsidRPr="008224CB" w:rsidRDefault="00381C46" w:rsidP="008224CB">
            <w:pPr>
              <w:jc w:val="both"/>
              <w:rPr>
                <w:rFonts w:ascii="Times New Roman" w:eastAsia="Times New Roman" w:hAnsi="Times New Roman" w:cs="Times New Roman"/>
                <w:b/>
                <w:kern w:val="0"/>
                <w:lang w:val="ro-RO" w:eastAsia="ro-RO"/>
              </w:rPr>
            </w:pPr>
            <w:r w:rsidRPr="008224CB">
              <w:rPr>
                <w:rFonts w:ascii="Times New Roman" w:eastAsia="Times New Roman" w:hAnsi="Times New Roman" w:cs="Times New Roman"/>
                <w:b/>
                <w:kern w:val="0"/>
                <w:lang w:val="ro-RO" w:eastAsia="ro-RO"/>
              </w:rPr>
              <w:t>a. Acceptarea recepție cu sau fără obiecții</w:t>
            </w:r>
          </w:p>
          <w:p w:rsidR="00381C46"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o Acceptarea recepției fără obiecții impune derularea acceptanței fără identificarea vreunui defect;</w:t>
            </w:r>
          </w:p>
          <w:p w:rsidR="00381C46"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o Acceptarea recepției cu obiecții presupune identificarea numai a unor defecte minore care pot fi remediate într-un termen de 5 zile lucrătoare.</w:t>
            </w:r>
          </w:p>
          <w:p w:rsidR="00381C46" w:rsidRPr="008224CB" w:rsidRDefault="00381C46" w:rsidP="008224CB">
            <w:pPr>
              <w:jc w:val="both"/>
              <w:rPr>
                <w:rFonts w:ascii="Times New Roman" w:eastAsia="Times New Roman" w:hAnsi="Times New Roman" w:cs="Times New Roman"/>
                <w:b/>
                <w:kern w:val="0"/>
                <w:lang w:val="ro-RO" w:eastAsia="ro-RO"/>
              </w:rPr>
            </w:pPr>
            <w:r w:rsidRPr="008224CB">
              <w:rPr>
                <w:rFonts w:ascii="Times New Roman" w:eastAsia="Times New Roman" w:hAnsi="Times New Roman" w:cs="Times New Roman"/>
                <w:b/>
                <w:kern w:val="0"/>
                <w:lang w:val="ro-RO" w:eastAsia="ro-RO"/>
              </w:rPr>
              <w:t>b. Suspendarea recepției</w:t>
            </w:r>
          </w:p>
          <w:p w:rsidR="00381C46"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o Suspendarea recepției se va face de către comisia de recepție dacă constată existența unor neconformități, neconcordanțe, defecte, ori deficiențe care sunt de natură să afecteze utilizarea produselor conform destinației lor, dar pot fi remediate.</w:t>
            </w:r>
          </w:p>
          <w:p w:rsidR="00381C46"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o Suspendarea recepției obligă contractantul să remedieze neconformitățile identificate astfel încât produsele să funcționeze la parametrii stabiliți prin contract. Termenul de remediere nu poate depăși 30 de zile de la data stabilirii neconformității. Recepția se va suspenda până la remedierea neconformității.</w:t>
            </w:r>
          </w:p>
          <w:p w:rsidR="00381C46" w:rsidRPr="008224CB" w:rsidRDefault="00381C46" w:rsidP="008224CB">
            <w:pPr>
              <w:ind w:firstLine="720"/>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o Se va întocmi un proces verbal de suspendare a recepției unde se vor consemna motivul suspendării, măsurile recomandate pentru înlăturarea neconformităților identificate, termenul de remediere. Procesul verbal de suspendare va fi comunicat de îndată contractantului în vederea remedierii neconformității identificate.</w:t>
            </w:r>
          </w:p>
          <w:p w:rsidR="00381C46" w:rsidRPr="008224CB" w:rsidRDefault="00381C46" w:rsidP="008224CB">
            <w:pPr>
              <w:jc w:val="both"/>
              <w:rPr>
                <w:rFonts w:ascii="Times New Roman" w:eastAsia="Times New Roman" w:hAnsi="Times New Roman" w:cs="Times New Roman"/>
                <w:b/>
                <w:kern w:val="0"/>
                <w:lang w:val="ro-RO" w:eastAsia="ro-RO"/>
              </w:rPr>
            </w:pPr>
            <w:r w:rsidRPr="008224CB">
              <w:rPr>
                <w:rFonts w:ascii="Times New Roman" w:eastAsia="Times New Roman" w:hAnsi="Times New Roman" w:cs="Times New Roman"/>
                <w:b/>
                <w:kern w:val="0"/>
                <w:lang w:val="ro-RO" w:eastAsia="ro-RO"/>
              </w:rPr>
              <w:t>c. Respingerea recepției</w:t>
            </w:r>
          </w:p>
          <w:p w:rsidR="00381C46" w:rsidRPr="008224CB" w:rsidRDefault="00381C46" w:rsidP="008224CB">
            <w:pPr>
              <w:ind w:firstLine="426"/>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o Respingerea recepției are ca efect neacceptarea produselor întrucât acestea sunt neconforme cu clauzele contractuale (produsele sunt realizate necorespunzător sau nefinalizate, prezintă defecte/deficiențe care sunt de natură să afecteze utilizarea produselor conform destinației lor), neconformități care nu pot fi remediate.</w:t>
            </w:r>
          </w:p>
          <w:p w:rsidR="00AF1E8A" w:rsidRPr="008224CB" w:rsidRDefault="00381C46" w:rsidP="008224CB">
            <w:pPr>
              <w:ind w:firstLine="426"/>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Se va considera că recepția cantitativă și calitativă a fost finalizată atunci când toate produsele au fost recepționate cantitativ și calitativ la toți beneficiarii finali, în baza proceselor verbale de recepție cantitativă și calitativă aferente, semnate de reprezentanții autorității contractante și contractant.</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keepNext/>
              <w:keepLines/>
              <w:pBdr>
                <w:top w:val="nil"/>
                <w:left w:val="nil"/>
                <w:bottom w:val="nil"/>
                <w:right w:val="nil"/>
                <w:between w:val="nil"/>
              </w:pBdr>
              <w:rPr>
                <w:rFonts w:ascii="Times New Roman" w:eastAsia="Times New Roman" w:hAnsi="Times New Roman" w:cs="Times New Roman"/>
                <w:b/>
                <w:color w:val="000000"/>
                <w:kern w:val="0"/>
                <w:lang w:val="ro-RO" w:eastAsia="ro-RO"/>
              </w:rPr>
            </w:pPr>
            <w:r w:rsidRPr="008224CB">
              <w:rPr>
                <w:rFonts w:ascii="Times New Roman" w:eastAsia="Times New Roman" w:hAnsi="Times New Roman" w:cs="Times New Roman"/>
                <w:b/>
                <w:color w:val="000000"/>
                <w:kern w:val="0"/>
                <w:lang w:val="ro-RO" w:eastAsia="ro-RO"/>
              </w:rPr>
              <w:lastRenderedPageBreak/>
              <w:t>Atribuțiile și responsabilitățile părților</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ind w:left="22" w:firstLine="404"/>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Atribuțiile și responsabilitățile Autorității contractante si ale Furnizorului sunt menționate in modelul de contract de furnizare, </w:t>
            </w:r>
            <w:r w:rsidRPr="008224CB">
              <w:rPr>
                <w:rFonts w:ascii="Times New Roman" w:eastAsia="Times New Roman" w:hAnsi="Times New Roman" w:cs="Times New Roman"/>
                <w:b/>
                <w:kern w:val="0"/>
                <w:lang w:val="ro-RO" w:eastAsia="ro-RO"/>
              </w:rPr>
              <w:t>model de contract ce trebuie asumat de ofertant</w:t>
            </w:r>
            <w:r w:rsidRPr="008224CB">
              <w:rPr>
                <w:rFonts w:ascii="Times New Roman" w:eastAsia="Times New Roman" w:hAnsi="Times New Roman" w:cs="Times New Roman"/>
                <w:kern w:val="0"/>
                <w:lang w:val="ro-RO" w:eastAsia="ro-RO"/>
              </w:rPr>
              <w:t>.</w:t>
            </w:r>
          </w:p>
          <w:p w:rsidR="00AF1E8A" w:rsidRPr="008224CB" w:rsidRDefault="00381C46" w:rsidP="008224CB">
            <w:pPr>
              <w:ind w:firstLine="426"/>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Beneficiarul va colabora, atât cât este posibil, cu ofertantul declarat câștigător pentru furnizarea informațiilor pe care acesta din urmă le poate solicita în mod rezonabil, pentru realizarea Contractului.</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426"/>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Furnizorul se obligă să furnizeze produsele, iar Beneficiarul se obligă să recepționeze produsele și să plătească prețul Contractului către furnizor, în termenul și condițiile stabilite în prezentul Caiet de sarcini.</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Beneficiarul poate notifica furnizorul cu privire la necesitatea revizuirii/respingerea Produselor. Solicitarea de revizuire/respingerea va fi motivată, cu comentarii scrise. </w:t>
            </w:r>
          </w:p>
          <w:p w:rsidR="00381C46" w:rsidRPr="008224CB" w:rsidRDefault="00381C46" w:rsidP="008224CB">
            <w:p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În raport cu produsele solicitate și cu cerințele stipulate în prezentul Caiet de Sarcini, responsabilitățile și atribuțiile părților sunt:</w:t>
            </w:r>
          </w:p>
          <w:p w:rsidR="00381C46" w:rsidRPr="008224CB" w:rsidRDefault="00381C46" w:rsidP="008224CB">
            <w:pPr>
              <w:jc w:val="both"/>
              <w:rPr>
                <w:rFonts w:ascii="Times New Roman" w:eastAsia="Times New Roman" w:hAnsi="Times New Roman" w:cs="Times New Roman"/>
                <w:i/>
                <w:color w:val="000000"/>
                <w:kern w:val="0"/>
                <w:lang w:val="ro-RO" w:eastAsia="ro-RO"/>
              </w:rPr>
            </w:pPr>
          </w:p>
          <w:p w:rsidR="00381C46" w:rsidRPr="008224CB" w:rsidRDefault="00381C46" w:rsidP="008224CB">
            <w:pPr>
              <w:jc w:val="both"/>
              <w:rPr>
                <w:rFonts w:ascii="Times New Roman" w:eastAsia="Times New Roman" w:hAnsi="Times New Roman" w:cs="Times New Roman"/>
                <w:b/>
                <w:i/>
                <w:color w:val="000000"/>
                <w:kern w:val="0"/>
                <w:lang w:val="ro-RO" w:eastAsia="ro-RO"/>
              </w:rPr>
            </w:pPr>
            <w:r w:rsidRPr="008224CB">
              <w:rPr>
                <w:rFonts w:ascii="Times New Roman" w:eastAsia="Times New Roman" w:hAnsi="Times New Roman" w:cs="Times New Roman"/>
                <w:b/>
                <w:i/>
                <w:color w:val="000000"/>
                <w:kern w:val="0"/>
                <w:lang w:val="ro-RO" w:eastAsia="ro-RO"/>
              </w:rPr>
              <w:t>Furnizorul are următoarele obligații principale</w:t>
            </w:r>
          </w:p>
          <w:p w:rsidR="00381C46" w:rsidRPr="008224CB" w:rsidRDefault="00381C46" w:rsidP="008224CB">
            <w:pPr>
              <w:numPr>
                <w:ilvl w:val="1"/>
                <w:numId w:val="3"/>
              </w:numPr>
              <w:ind w:left="630"/>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mobilizarea de resurse suficiente și cu expertiză adecvată pentru a asigura gestionarea contractului, astfel cum este solicitat la nivelul Caietului de Sarcini, </w:t>
            </w:r>
          </w:p>
          <w:p w:rsidR="00381C46" w:rsidRPr="008224CB" w:rsidRDefault="00381C46" w:rsidP="008224CB">
            <w:pPr>
              <w:numPr>
                <w:ilvl w:val="1"/>
                <w:numId w:val="3"/>
              </w:numPr>
              <w:ind w:left="630"/>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îndeplinirea obligațiilor contractuale, cu respectarea bunelor practici din domeniu, a prevederilor legale și contractuale relevante, astfel încât să se asigure că obligațiile sunt îndeplinite la parametrii solicitați, </w:t>
            </w:r>
          </w:p>
          <w:p w:rsidR="00381C46" w:rsidRPr="008224CB" w:rsidRDefault="00381C46" w:rsidP="008224CB">
            <w:pPr>
              <w:numPr>
                <w:ilvl w:val="1"/>
                <w:numId w:val="3"/>
              </w:numPr>
              <w:ind w:left="630"/>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asigurarea unui grad de flexibilitate în planificarea modalității de gestionare a contractului, pe toată durata de derulare a contractului, </w:t>
            </w:r>
          </w:p>
          <w:p w:rsidR="00381C46" w:rsidRPr="008224CB" w:rsidRDefault="00381C46" w:rsidP="008224CB">
            <w:pPr>
              <w:numPr>
                <w:ilvl w:val="1"/>
                <w:numId w:val="3"/>
              </w:numPr>
              <w:ind w:left="630"/>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transmiterea datelor de identificare și de contact ale personalului alocat pentru executarea contractului </w:t>
            </w:r>
          </w:p>
          <w:p w:rsidR="00381C46" w:rsidRPr="008224CB" w:rsidRDefault="00381C46" w:rsidP="008224CB">
            <w:pPr>
              <w:numPr>
                <w:ilvl w:val="1"/>
                <w:numId w:val="3"/>
              </w:numPr>
              <w:ind w:left="630"/>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colaborarea cu personalul autorității/entității contractante alocat pentru verificarea produselor livrate și realizarea recepțiilor, </w:t>
            </w:r>
          </w:p>
          <w:p w:rsidR="00381C46" w:rsidRPr="008224CB" w:rsidRDefault="00381C46" w:rsidP="008224CB">
            <w:pPr>
              <w:numPr>
                <w:ilvl w:val="1"/>
                <w:numId w:val="3"/>
              </w:numPr>
              <w:ind w:left="630"/>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reducerea, în măsura posibilă, la minim, a situațiilor de întârzieri în efectuarea livrărilor, minimizând astfel impactul negativ asupra activității autorității/entității contractante, </w:t>
            </w:r>
          </w:p>
          <w:p w:rsidR="00381C46" w:rsidRPr="008224CB" w:rsidRDefault="00381C46" w:rsidP="008224CB">
            <w:pPr>
              <w:numPr>
                <w:ilvl w:val="1"/>
                <w:numId w:val="3"/>
              </w:numPr>
              <w:ind w:left="630"/>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lastRenderedPageBreak/>
              <w:t xml:space="preserve">asigurarea că orice documente, documentații și/sau instrucțiuni furnizate către personalul autorității/entității contractante sunt exacte și elaborate în conformitate cu bunele practici specifice în domeniu, </w:t>
            </w:r>
          </w:p>
          <w:p w:rsidR="00381C46" w:rsidRPr="008224CB" w:rsidRDefault="00381C46" w:rsidP="008224CB">
            <w:pPr>
              <w:numPr>
                <w:ilvl w:val="1"/>
                <w:numId w:val="3"/>
              </w:numPr>
              <w:ind w:left="630"/>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prezentarea rapoartelor solicitate de personalul autorității/entității contractante, potrivit cerințelor de raportare stabilite prin Contract, </w:t>
            </w:r>
          </w:p>
          <w:p w:rsidR="00381C46" w:rsidRPr="008224CB" w:rsidRDefault="00381C46" w:rsidP="008224CB">
            <w:pPr>
              <w:numPr>
                <w:ilvl w:val="1"/>
                <w:numId w:val="3"/>
              </w:numPr>
              <w:ind w:left="630"/>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colaborarea cu personalul autorității/entității contractante alocat pentru furnizarea produselor care fac obiectul contractului și pentru asigurarea serviciilor accesorii. </w:t>
            </w:r>
          </w:p>
          <w:p w:rsidR="00AF1E8A" w:rsidRPr="008224CB" w:rsidRDefault="00381C46" w:rsidP="008224CB">
            <w:pPr>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 xml:space="preserve">Obligațiile principale ale furnizorului se completează cu obligațiile prevăzute în condițiile contractuale. </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b/>
                <w:i/>
                <w:iCs/>
                <w:color w:val="000000"/>
                <w:kern w:val="0"/>
                <w:lang w:val="ro-RO" w:eastAsia="ro-RO"/>
              </w:rPr>
            </w:pPr>
            <w:r w:rsidRPr="008224CB">
              <w:rPr>
                <w:rFonts w:ascii="Times New Roman" w:eastAsia="Times New Roman" w:hAnsi="Times New Roman" w:cs="Times New Roman"/>
                <w:b/>
                <w:i/>
                <w:iCs/>
                <w:color w:val="000000"/>
                <w:kern w:val="0"/>
                <w:lang w:val="ro-RO" w:eastAsia="ro-RO"/>
              </w:rPr>
              <w:lastRenderedPageBreak/>
              <w:t xml:space="preserve">Autoritatea contractantă are următoarele obligații principale: </w:t>
            </w:r>
          </w:p>
          <w:p w:rsidR="00381C46" w:rsidRPr="008224CB" w:rsidRDefault="00381C46" w:rsidP="008224CB">
            <w:pPr>
              <w:numPr>
                <w:ilvl w:val="0"/>
                <w:numId w:val="4"/>
              </w:num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desemnarea unei persoane sau a unei echipe pentru monitorizarea contractului,</w:t>
            </w:r>
          </w:p>
          <w:p w:rsidR="00381C46" w:rsidRPr="008224CB" w:rsidRDefault="00381C46" w:rsidP="008224CB">
            <w:pPr>
              <w:numPr>
                <w:ilvl w:val="0"/>
                <w:numId w:val="4"/>
              </w:num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punerea la dispoziția furnizorului a tuturor informațiilor disponibile și necesare pentru derularea contractului  în timpul stabilit și la nivelul de calitate și performanță prevăzut în Caietul de Sarcini,</w:t>
            </w:r>
          </w:p>
          <w:p w:rsidR="00381C46" w:rsidRPr="008224CB" w:rsidRDefault="00381C46" w:rsidP="008224CB">
            <w:pPr>
              <w:numPr>
                <w:ilvl w:val="0"/>
                <w:numId w:val="4"/>
              </w:num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asigurarea accesului în spațiile în care urmează a se realiza livrarea, după caz instalarea produselor; </w:t>
            </w:r>
          </w:p>
          <w:p w:rsidR="00381C46" w:rsidRPr="008224CB" w:rsidRDefault="00381C46" w:rsidP="008224CB">
            <w:pPr>
              <w:numPr>
                <w:ilvl w:val="0"/>
                <w:numId w:val="4"/>
              </w:num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mobilizarea tuturor resurselor care sunt în sarcina sa, pentru buna derulare a contractului,</w:t>
            </w:r>
          </w:p>
          <w:p w:rsidR="00381C46" w:rsidRPr="008224CB" w:rsidRDefault="00381C46" w:rsidP="008224CB">
            <w:pPr>
              <w:numPr>
                <w:ilvl w:val="0"/>
                <w:numId w:val="4"/>
              </w:num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colaborarea cu furnizorul pentru a identifica în timp util orice eventuale probleme care ar putea apărea pe parcursul derulării contractului,</w:t>
            </w:r>
          </w:p>
          <w:p w:rsidR="00381C46" w:rsidRPr="008224CB" w:rsidRDefault="00381C46" w:rsidP="008224CB">
            <w:pPr>
              <w:numPr>
                <w:ilvl w:val="0"/>
                <w:numId w:val="4"/>
              </w:num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asigurarea acurateței oricăror informații puse la dispoziția Furnizoruluii pe durata derulării contractului, </w:t>
            </w:r>
          </w:p>
          <w:p w:rsidR="00381C46" w:rsidRPr="008224CB" w:rsidRDefault="00381C46" w:rsidP="008224CB">
            <w:pPr>
              <w:numPr>
                <w:ilvl w:val="0"/>
                <w:numId w:val="4"/>
              </w:num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monitorizarea îndeplinirii tuturor cerințelor din Caietul de Sarcini și a oricăror elemente ale Propunerii Tehnice și Financiare pe durata</w:t>
            </w:r>
            <w:r w:rsidRPr="008224CB">
              <w:rPr>
                <w:rFonts w:ascii="Times New Roman" w:eastAsia="Times New Roman" w:hAnsi="Times New Roman" w:cs="Times New Roman"/>
                <w:color w:val="000000"/>
                <w:kern w:val="0"/>
                <w:lang w:val="ro-RO" w:eastAsia="ro-RO"/>
              </w:rPr>
              <w:t xml:space="preserve"> </w:t>
            </w:r>
            <w:r w:rsidRPr="008224CB">
              <w:rPr>
                <w:rFonts w:ascii="Times New Roman" w:eastAsia="Times New Roman" w:hAnsi="Times New Roman" w:cs="Times New Roman"/>
                <w:i/>
                <w:color w:val="000000"/>
                <w:kern w:val="0"/>
                <w:lang w:val="ro-RO" w:eastAsia="ro-RO"/>
              </w:rPr>
              <w:t xml:space="preserve">derulării contractului, efectuarea și păstrarea unei arhive cu înregistrări pentru documentarea nivelului de performanță a Furnizorului, </w:t>
            </w:r>
          </w:p>
          <w:p w:rsidR="00381C46" w:rsidRPr="008224CB" w:rsidRDefault="00381C46" w:rsidP="008224CB">
            <w:pPr>
              <w:numPr>
                <w:ilvl w:val="0"/>
                <w:numId w:val="4"/>
              </w:num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notificarea Furnizorului prin canalele de comunicație puse la dispoziție de acesta privind orice incidente sau disfuncționalități </w:t>
            </w:r>
            <w:r w:rsidRPr="008224CB">
              <w:rPr>
                <w:rFonts w:ascii="Times New Roman" w:eastAsia="Times New Roman" w:hAnsi="Times New Roman" w:cs="Times New Roman"/>
                <w:i/>
                <w:color w:val="000000"/>
                <w:kern w:val="0"/>
                <w:lang w:val="ro-RO" w:eastAsia="ro-RO"/>
              </w:rPr>
              <w:lastRenderedPageBreak/>
              <w:t xml:space="preserve">care intervin pe perioada de derulare a contractului, </w:t>
            </w:r>
          </w:p>
          <w:p w:rsidR="00AF1E8A" w:rsidRPr="008224CB" w:rsidRDefault="00381C46" w:rsidP="008224CB">
            <w:pPr>
              <w:numPr>
                <w:ilvl w:val="0"/>
                <w:numId w:val="4"/>
              </w:numPr>
              <w:jc w:val="both"/>
              <w:rPr>
                <w:rFonts w:ascii="Times New Roman" w:eastAsia="Times New Roman" w:hAnsi="Times New Roman" w:cs="Times New Roman"/>
                <w:i/>
                <w:color w:val="000000"/>
                <w:kern w:val="0"/>
                <w:lang w:val="ro-RO" w:eastAsia="ro-RO"/>
              </w:rPr>
            </w:pPr>
            <w:r w:rsidRPr="008224CB">
              <w:rPr>
                <w:rFonts w:ascii="Times New Roman" w:eastAsia="Times New Roman" w:hAnsi="Times New Roman" w:cs="Times New Roman"/>
                <w:i/>
                <w:color w:val="000000"/>
                <w:kern w:val="0"/>
                <w:lang w:val="ro-RO" w:eastAsia="ro-RO"/>
              </w:rPr>
              <w:t xml:space="preserve">verificarea tuturor documentelor asociate recepției produselor și serviciilor suport care fac obiectul contractului, respectiv care confirmă furnizarea produselor potrivit condițiilor de calitate stabilite în Caietul de sarcini. </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contextualSpacing/>
              <w:jc w:val="both"/>
              <w:rPr>
                <w:rFonts w:ascii="Times New Roman" w:eastAsia="Calibri" w:hAnsi="Times New Roman" w:cs="Times New Roman"/>
                <w:i/>
                <w:color w:val="000000"/>
                <w:kern w:val="0"/>
                <w:lang w:val="ro-RO" w:eastAsia="ro-RO"/>
              </w:rPr>
            </w:pPr>
            <w:r w:rsidRPr="008224CB">
              <w:rPr>
                <w:rFonts w:ascii="Times New Roman" w:eastAsia="Times New Roman" w:hAnsi="Times New Roman" w:cs="Times New Roman"/>
                <w:b/>
                <w:color w:val="000000"/>
                <w:kern w:val="0"/>
                <w:lang w:val="ro-RO" w:eastAsia="ro-RO"/>
              </w:rPr>
              <w:lastRenderedPageBreak/>
              <w:t>Modalități si c</w:t>
            </w:r>
            <w:r w:rsidRPr="008224CB">
              <w:rPr>
                <w:rFonts w:ascii="Times New Roman" w:eastAsia="Calibri" w:hAnsi="Times New Roman" w:cs="Times New Roman"/>
                <w:b/>
                <w:kern w:val="0"/>
                <w:lang w:val="ro-RO" w:eastAsia="ro-RO"/>
              </w:rPr>
              <w:t>ondiții de plata</w:t>
            </w:r>
            <w:bookmarkStart w:id="0" w:name="_heading=h.mf1okmb4axhr" w:colFirst="0" w:colLast="0"/>
            <w:bookmarkEnd w:id="0"/>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jc w:val="both"/>
              <w:rPr>
                <w:rFonts w:ascii="Times New Roman" w:eastAsia="Times New Roman" w:hAnsi="Times New Roman" w:cs="Times New Roman"/>
                <w:color w:val="000000"/>
                <w:kern w:val="0"/>
                <w:lang w:eastAsia="ro-RO"/>
              </w:rPr>
            </w:pPr>
            <w:r w:rsidRPr="008224CB">
              <w:rPr>
                <w:rFonts w:ascii="Times New Roman" w:eastAsia="Times New Roman" w:hAnsi="Times New Roman" w:cs="Times New Roman"/>
                <w:color w:val="000000"/>
                <w:kern w:val="0"/>
                <w:lang w:eastAsia="ro-RO"/>
              </w:rPr>
              <w:t xml:space="preserve">Plățile pentru produsele furnizate se vor efectua potrivit mecanismului cererilor de transfer stabilit prin Hotărârea Guvernului nr. 209 din 14 februarie 2022 pentru aprobarea Normelor metodologice de aplicare a prevederilor Ordonanței de urgență a Guvernului nr. 124/2021 privind stabilirea cadrului instituțional şi financiar pentru gestionarea fondurilor europene alocate României prin Mecanismul de redresare şi reziliență, precum şi pentru modificarea şi completarea Ordonanței de urgență a Guvernului nr. 155/2020 privind unele măsuri pentru elaborarea Planului național de redresare şi reziliență necesar României pentru accesarea de fonduri externe rambursabile şi nerambursabile în cadrul Mecanismului de redresare și reziliență, respectiv în </w:t>
            </w:r>
            <w:r w:rsidRPr="008224CB">
              <w:rPr>
                <w:rFonts w:ascii="Times New Roman" w:eastAsia="Times New Roman" w:hAnsi="Times New Roman" w:cs="Times New Roman"/>
                <w:kern w:val="0"/>
                <w:lang w:eastAsia="ro-RO"/>
              </w:rPr>
              <w:t xml:space="preserve">termen de maxim 5 zile lucrătoare de la încasarea sumelor solicitate de Autoritatea Contractantă prin mecanismul cererilor de transfer, </w:t>
            </w:r>
            <w:r w:rsidRPr="008224CB">
              <w:rPr>
                <w:rFonts w:ascii="Times New Roman" w:eastAsia="Times New Roman" w:hAnsi="Times New Roman" w:cs="Times New Roman"/>
                <w:color w:val="000000"/>
                <w:kern w:val="0"/>
                <w:lang w:eastAsia="ro-RO"/>
              </w:rPr>
              <w:t xml:space="preserve">și în conformitate cu termenele de plată prevăzute în legislația în vigoare.” </w:t>
            </w:r>
            <w:bookmarkStart w:id="1" w:name="_heading=h.iwn39v733h7" w:colFirst="0" w:colLast="0"/>
            <w:bookmarkEnd w:id="1"/>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Procesele verbale de recepție cantitativă și calitativă, împreună cu factura înregistrată la sediul Autorității Contractante reprezintă elementele necesare realizării plății, împreuna cu celelalte documente justificative. Autoritatea Contractanta va efectua plata, pe baza facturilor electronice urcate  de către contractant in portalul e-factura, pentru produsele livrate și acceptate la plată de către autoritatea contractantă</w:t>
            </w:r>
            <w:bookmarkStart w:id="2" w:name="_heading=h.yeieeh4wn46s" w:colFirst="0" w:colLast="0"/>
            <w:bookmarkEnd w:id="2"/>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Furnizorul va elabora propunerea financiară astfel încât aceasta să furnizeze toate informațiile solicitate cu privire la preț precum și la alte condiții financiare și comerciale legate de obiectul contractului de achiziție publică.</w:t>
            </w:r>
            <w:bookmarkStart w:id="3" w:name="_heading=h.i98mhv1f7ie5" w:colFirst="0" w:colLast="0"/>
            <w:bookmarkEnd w:id="3"/>
            <w:r w:rsidRPr="008224CB">
              <w:rPr>
                <w:rFonts w:ascii="Times New Roman" w:eastAsia="Times New Roman" w:hAnsi="Times New Roman" w:cs="Times New Roman"/>
                <w:color w:val="000000"/>
                <w:kern w:val="0"/>
                <w:lang w:val="ro-RO" w:eastAsia="ro-RO"/>
              </w:rPr>
              <w:t xml:space="preserve"> Factura va fi emisă după semnarea de către autoritatea contractantă a procesului verbal de recepție calitativă și cantitativă, acceptat, după livrare și instalare. Procesul verbal de recepție calitativă și cantitativă va însoți factura și reprezintă elementul necesar realizării plății, împreună cu celelalte </w:t>
            </w:r>
            <w:r w:rsidRPr="008224CB">
              <w:rPr>
                <w:rFonts w:ascii="Times New Roman" w:eastAsia="Times New Roman" w:hAnsi="Times New Roman" w:cs="Times New Roman"/>
                <w:color w:val="000000"/>
                <w:kern w:val="0"/>
                <w:lang w:val="ro-RO" w:eastAsia="ro-RO"/>
              </w:rPr>
              <w:lastRenderedPageBreak/>
              <w:t>documente justificative prevăzute mai jos (de exemplu):</w:t>
            </w:r>
            <w:bookmarkStart w:id="4" w:name="_heading=h.916ihappl5xt" w:colFirst="0" w:colLast="0"/>
            <w:bookmarkEnd w:id="4"/>
          </w:p>
          <w:p w:rsidR="00381C46" w:rsidRPr="008224CB" w:rsidRDefault="00381C46" w:rsidP="008224CB">
            <w:pPr>
              <w:ind w:left="286"/>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a) Certificat de garanție tehnică de la producător/furnizor/distribuitor;</w:t>
            </w:r>
            <w:bookmarkStart w:id="5" w:name="_heading=h.wf9fsfgh21t" w:colFirst="0" w:colLast="0"/>
            <w:bookmarkEnd w:id="5"/>
          </w:p>
          <w:p w:rsidR="00381C46" w:rsidRPr="008224CB" w:rsidRDefault="00381C46" w:rsidP="008224CB">
            <w:pPr>
              <w:ind w:left="286"/>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b) Certificat de conformitate emis de contractant;</w:t>
            </w:r>
            <w:bookmarkStart w:id="6" w:name="_heading=h.af6ah7k7d9cx" w:colFirst="0" w:colLast="0"/>
            <w:bookmarkEnd w:id="6"/>
          </w:p>
          <w:p w:rsidR="00AF1E8A" w:rsidRPr="008224CB" w:rsidRDefault="00381C46" w:rsidP="008224CB">
            <w:pPr>
              <w:ind w:left="286"/>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c) Documentul de transport/aviz însoțire marfă (după caz);</w:t>
            </w:r>
            <w:bookmarkStart w:id="7" w:name="_heading=h.a8qyck4btfhk" w:colFirst="0" w:colLast="0"/>
            <w:bookmarkEnd w:id="7"/>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contextualSpacing/>
              <w:jc w:val="both"/>
              <w:rPr>
                <w:rFonts w:ascii="Times New Roman" w:eastAsia="Times New Roman" w:hAnsi="Times New Roman" w:cs="Times New Roman"/>
                <w:b/>
                <w:color w:val="000000"/>
                <w:kern w:val="0"/>
                <w:lang w:val="ro-RO" w:eastAsia="ro-RO"/>
              </w:rPr>
            </w:pPr>
            <w:r w:rsidRPr="008224CB">
              <w:rPr>
                <w:rFonts w:ascii="Times New Roman" w:eastAsia="Times New Roman" w:hAnsi="Times New Roman" w:cs="Times New Roman"/>
                <w:b/>
                <w:color w:val="000000"/>
                <w:kern w:val="0"/>
                <w:lang w:val="ro-RO" w:eastAsia="ro-RO"/>
              </w:rPr>
              <w:lastRenderedPageBreak/>
              <w:t>Cadrul legal care guvernează relația dintre autoritatea/entitatea contractantă și contractant (inclusiv în domeniile mediului, social și al relațiilor de muncă)</w:t>
            </w:r>
            <w:bookmarkStart w:id="8" w:name="_heading=h.ohjoed5u3ufm" w:colFirst="0" w:colLast="0"/>
            <w:bookmarkEnd w:id="8"/>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Furnizorul trebuie să respecte toate prevederile legale, aplicabile la nivel național, dar și regulamentele aplicabile la nivelul Uniunii Europene.</w:t>
            </w:r>
            <w:bookmarkStart w:id="9" w:name="_heading=h.8opxcxuximtt" w:colFirst="0" w:colLast="0"/>
            <w:bookmarkEnd w:id="9"/>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Pe perioada realizării tuturor activităților din cadrul contractului, furnizorul este responsabil pentru implementarea celor mai bune practici, în conformitate cu legislația și regulamentele existente la nivel național și la nivelul Uniunii Europene.</w:t>
            </w:r>
            <w:bookmarkStart w:id="10" w:name="_heading=h.gc58kumy878h" w:colFirst="0" w:colLast="0"/>
            <w:bookmarkEnd w:id="10"/>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Dacă în etapa de ofertare, operatorul economic nu a menționat subcontractanți, însă pe parcursul derulării contractului acesta constată ca are nevoie pentru buna implementarea a contractului să subcontracteze o parte din contract, acetia vor ave nevoie de acordul explicit al autorității contractante, cu excepția cazurilor prevăzute în articolul 219 din Legea nr. 98/2016 și în articolul 151 din Anexa la HG nr. 395/2016.</w:t>
            </w:r>
            <w:bookmarkStart w:id="11" w:name="_heading=h.w86z6mfwp9nb" w:colFirst="0" w:colLast="0"/>
            <w:bookmarkStart w:id="12" w:name="_heading=h.tx7p877l0hh2" w:colFirst="0" w:colLast="0"/>
            <w:bookmarkEnd w:id="11"/>
            <w:bookmarkEnd w:id="12"/>
            <w:r w:rsidRPr="008224CB">
              <w:rPr>
                <w:rFonts w:ascii="Times New Roman" w:eastAsia="Times New Roman" w:hAnsi="Times New Roman" w:cs="Times New Roman"/>
                <w:color w:val="000000"/>
                <w:kern w:val="0"/>
                <w:lang w:val="ro-RO" w:eastAsia="ro-RO"/>
              </w:rPr>
              <w:t>Actele normative și standardele indicate mai jos sunt considerate indicative și nelimitative, enumerarea actelor normative din acest capitol este oferita ca referința și nu trebuie considerată limitativă:</w:t>
            </w:r>
            <w:bookmarkStart w:id="13" w:name="_heading=h.ld3nb750l6y6" w:colFirst="0" w:colLast="0"/>
            <w:bookmarkEnd w:id="13"/>
          </w:p>
          <w:p w:rsidR="00381C46" w:rsidRPr="008224CB" w:rsidRDefault="00381C46" w:rsidP="008224CB">
            <w:pPr>
              <w:numPr>
                <w:ilvl w:val="0"/>
                <w:numId w:val="6"/>
              </w:numPr>
              <w:ind w:left="335"/>
              <w:contextualSpacing/>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Legea privind achizițiile publice nr. 98/2016, cu modificările și completările ulterioare;</w:t>
            </w:r>
            <w:bookmarkStart w:id="14" w:name="_heading=h.x0ypi7rfqn5i" w:colFirst="0" w:colLast="0"/>
            <w:bookmarkEnd w:id="14"/>
          </w:p>
          <w:p w:rsidR="00381C46" w:rsidRPr="008224CB" w:rsidRDefault="00381C46" w:rsidP="008224CB">
            <w:pPr>
              <w:numPr>
                <w:ilvl w:val="0"/>
                <w:numId w:val="6"/>
              </w:numPr>
              <w:ind w:left="425"/>
              <w:contextualSpacing/>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 xml:space="preserve">Legea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nr. 101/2016; </w:t>
            </w:r>
            <w:bookmarkStart w:id="15" w:name="_heading=h.anx41vawe9aj" w:colFirst="0" w:colLast="0"/>
            <w:bookmarkEnd w:id="15"/>
          </w:p>
          <w:p w:rsidR="00381C46" w:rsidRPr="008224CB" w:rsidRDefault="00381C46" w:rsidP="008224CB">
            <w:pPr>
              <w:keepNext/>
              <w:keepLines/>
              <w:numPr>
                <w:ilvl w:val="0"/>
                <w:numId w:val="6"/>
              </w:numPr>
              <w:ind w:left="360"/>
              <w:contextualSpacing/>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 xml:space="preserve">Hotărârea Guvernului nr. 395/2016, cu modificările și completările ulterioare pentru aprobarea Normelor metodologice de aplicare a prevederilor referitoare la atribuirea contractului de achiziție publică/acordului-cadru din Legea nr. 98/2016 privind achizițiile </w:t>
            </w:r>
            <w:r w:rsidRPr="008224CB">
              <w:rPr>
                <w:rFonts w:ascii="Times New Roman" w:eastAsia="Times New Roman" w:hAnsi="Times New Roman" w:cs="Times New Roman"/>
                <w:color w:val="000000"/>
                <w:kern w:val="0"/>
                <w:lang w:val="ro-RO" w:eastAsia="ro-RO"/>
              </w:rPr>
              <w:lastRenderedPageBreak/>
              <w:t>publice, cu modificările și completările ulterioare;</w:t>
            </w:r>
          </w:p>
          <w:p w:rsidR="00381C46" w:rsidRPr="008224CB" w:rsidRDefault="00381C46" w:rsidP="008224CB">
            <w:pPr>
              <w:keepNext/>
              <w:keepLines/>
              <w:numPr>
                <w:ilvl w:val="0"/>
                <w:numId w:val="6"/>
              </w:numPr>
              <w:ind w:left="360"/>
              <w:contextualSpacing/>
              <w:jc w:val="both"/>
              <w:rPr>
                <w:rFonts w:ascii="Times New Roman" w:eastAsia="Times New Roman" w:hAnsi="Times New Roman" w:cs="Times New Roman"/>
                <w:color w:val="000000"/>
                <w:kern w:val="0"/>
                <w:lang w:val="ro-RO" w:eastAsia="ro-RO"/>
              </w:rPr>
            </w:pPr>
            <w:r w:rsidRPr="008224CB">
              <w:rPr>
                <w:rFonts w:ascii="Times New Roman" w:eastAsia="Times New Roman" w:hAnsi="Times New Roman" w:cs="Times New Roman"/>
                <w:color w:val="000000"/>
                <w:kern w:val="0"/>
                <w:lang w:val="ro-RO" w:eastAsia="ro-RO"/>
              </w:rPr>
              <w:t>d) Ghidul de finanțare PNRR specific măsurii – ofertanții vor respecta extrasul din Ghidul se Finanțare PNRR</w:t>
            </w:r>
            <w:bookmarkStart w:id="16" w:name="_heading=h.ar73cytumu42" w:colFirst="0" w:colLast="0"/>
            <w:bookmarkEnd w:id="16"/>
            <w:r w:rsidRPr="008224CB">
              <w:rPr>
                <w:rFonts w:ascii="Times New Roman" w:eastAsia="Times New Roman" w:hAnsi="Times New Roman" w:cs="Times New Roman"/>
                <w:color w:val="000000"/>
                <w:kern w:val="0"/>
                <w:lang w:val="ro-RO" w:eastAsia="ro-RO"/>
              </w:rPr>
              <w:t xml:space="preserve">) </w:t>
            </w:r>
            <w:hyperlink r:id="rId8">
              <w:r w:rsidRPr="008224CB">
                <w:rPr>
                  <w:rFonts w:ascii="Times New Roman" w:eastAsia="Times New Roman" w:hAnsi="Times New Roman" w:cs="Times New Roman"/>
                  <w:color w:val="0563C1"/>
                  <w:kern w:val="0"/>
                  <w:u w:val="single"/>
                  <w:lang w:val="ro-RO" w:eastAsia="ro-RO"/>
                </w:rPr>
                <w:t>www.anap.gov.ro</w:t>
              </w:r>
            </w:hyperlink>
            <w:r w:rsidRPr="008224CB">
              <w:rPr>
                <w:rFonts w:ascii="Times New Roman" w:eastAsia="Times New Roman" w:hAnsi="Times New Roman" w:cs="Times New Roman"/>
                <w:color w:val="000000"/>
                <w:kern w:val="0"/>
                <w:lang w:val="ro-RO" w:eastAsia="ro-RO"/>
              </w:rPr>
              <w:t xml:space="preserve">. </w:t>
            </w:r>
          </w:p>
          <w:p w:rsidR="00AF1E8A" w:rsidRPr="008224CB" w:rsidRDefault="00381C46" w:rsidP="008224CB">
            <w:pPr>
              <w:keepNext/>
              <w:keepLines/>
              <w:jc w:val="both"/>
              <w:rPr>
                <w:rFonts w:ascii="Times New Roman" w:eastAsia="Times New Roman" w:hAnsi="Times New Roman" w:cs="Times New Roman"/>
                <w:color w:val="000000"/>
                <w:kern w:val="0"/>
                <w:lang w:val="ro-RO" w:eastAsia="ro-RO"/>
              </w:rPr>
            </w:pPr>
            <w:bookmarkStart w:id="17" w:name="_heading=h.robv27otb1mk" w:colFirst="0" w:colLast="0"/>
            <w:bookmarkEnd w:id="17"/>
            <w:r w:rsidRPr="008224CB">
              <w:rPr>
                <w:rFonts w:ascii="Times New Roman" w:eastAsia="Times New Roman" w:hAnsi="Times New Roman" w:cs="Times New Roman"/>
                <w:color w:val="000000"/>
                <w:kern w:val="0"/>
                <w:lang w:val="ro-RO" w:eastAsia="ro-RO"/>
              </w:rPr>
              <w:t>e) Ordinul ME 3497/2022 pentru aprobarea standardelor de echipare a unităților de învățământ preuniversitar cu echipamente tehnologice, modificat prin ordinele 6416/2022 si 3677/2023</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ind w:left="360"/>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kern w:val="0"/>
                <w:lang w:val="ro-RO" w:eastAsia="ro-RO"/>
              </w:rPr>
              <w:lastRenderedPageBreak/>
              <w:t>Furnizorul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8224CB">
              <w:rPr>
                <w:rFonts w:ascii="Times New Roman" w:eastAsia="Times New Roman" w:hAnsi="Times New Roman" w:cs="Times New Roman"/>
                <w:i/>
                <w:kern w:val="0"/>
                <w:lang w:val="ro-RO" w:eastAsia="ro-RO"/>
              </w:rPr>
              <w:t xml:space="preserve"> </w:t>
            </w:r>
            <w:r w:rsidRPr="008224CB">
              <w:rPr>
                <w:rFonts w:ascii="Times New Roman" w:eastAsia="Times New Roman" w:hAnsi="Times New Roman" w:cs="Times New Roman"/>
                <w:kern w:val="0"/>
                <w:lang w:val="ro-RO" w:eastAsia="ro-RO"/>
              </w:rPr>
              <w:t xml:space="preserve">respectiv </w:t>
            </w:r>
            <w:r w:rsidRPr="008224CB">
              <w:rPr>
                <w:rFonts w:ascii="Times New Roman" w:eastAsia="Times New Roman" w:hAnsi="Times New Roman" w:cs="Times New Roman"/>
                <w:i/>
                <w:kern w:val="0"/>
                <w:lang w:val="ro-RO" w:eastAsia="ro-RO"/>
              </w:rPr>
              <w:t>Convenția nr. 87 a OIM privind libertatea de asociere și protecția dreptului de organizare;</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nr. 98 a OIM privind dreptul de organizare și negociere colectivă;</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nr. 29 a OIM privind munca forțată;</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nr. 105 a OIM privind abolirea muncii forțate;</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nr. 138 a OIM privind vârsta minimă de încadrare în muncă;</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nr. 111 a OIM privind discriminarea (ocuparea forței de muncă și profesie);</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nr. 100 a OIM privind egalitatea remunerației;</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nr. 182 a OIM privind cele mai grave forme ale muncii copiilor;</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de la Viena privind protecția stratului de ozon și Protocolul său de la Montreal privind substanțele care epuizează stratul de ozon;</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de la Basel privind controlul circulației transfrontaliere a deșeurilor periculoase și al eliminării acestora (Convenția de la Basel);</w:t>
            </w:r>
          </w:p>
          <w:p w:rsidR="00381C46"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Convenția de la Stockholm privind poluanții organici persistenți (Convenția de la Stockholm privind POP);</w:t>
            </w:r>
          </w:p>
          <w:p w:rsidR="00AF1E8A" w:rsidRPr="008224CB" w:rsidRDefault="00381C46" w:rsidP="008224CB">
            <w:pPr>
              <w:numPr>
                <w:ilvl w:val="0"/>
                <w:numId w:val="7"/>
              </w:numPr>
              <w:ind w:left="714" w:hanging="357"/>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 xml:space="preserve">Convenția de la Rotterdam privind procedura de consimțământ prealabil în cunoștință de cauză, aplicabilă anumitor produși </w:t>
            </w:r>
            <w:r w:rsidRPr="008224CB">
              <w:rPr>
                <w:rFonts w:ascii="Times New Roman" w:eastAsia="Times New Roman" w:hAnsi="Times New Roman" w:cs="Times New Roman"/>
                <w:i/>
                <w:kern w:val="0"/>
                <w:lang w:val="ro-RO" w:eastAsia="ro-RO"/>
              </w:rPr>
              <w:lastRenderedPageBreak/>
              <w:t>chimici periculoși și pesticide care fac obiectul comerțului internațional (UNEP/FAO) (Convenția PIC), 10 septembrie 1998, și cele trei protocoale regionale ale sale.]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357"/>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lastRenderedPageBreak/>
              <w:t xml:space="preserve">Ofertanții/ofertanții în comun cu alți operatori economici, inclusiv în forme de asociere temporară/subcontractanții (după caz) vor prezenta dovezi care să confirme că la elaborarea ofertelor au ținut cont de respectarea obligațiilor relevante referitoare la condițiile din domeniile mediului, social, relațiilor de muncă și protecția muncii, conform reglementărilor mai sus menționate. </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Instituțiile competente de la care ofertanții pot obține informații detaliate privind reglementările care sunt în vigoare prin dreptul Uniunii, prin dreptul național, prin acorduri colective, tratate sau prin dispozițiile/acordurile internaționale de drept în domeniul mediului, social și al muncii enumerate în anexa X la Directiva 2014/24 și care se referă la condițiile de mediu, sociale, relațiilor de muncă și protecția muncii, securității și sănătății în muncă, sunt Ministerul Mediului, Apelor și Pădurilor sau pe site-ul: http://www.mmediu.ro / Agenția Națională pentru Protecția Mediului sau de pe site-ul: http://www.anpm.ro/web/guest/legislatie și Ministerul Muncii, Familiei, Protecției Sociale și Persoanelor Vârstnice, Inspectoratele Teritoriale de Muncă sau pe site-ul: http: // www.inspectmun.ro / Legislație / legislatie.html. </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Furnizorul înțelege că trebuie: </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a) să respecte toate legile în vigoare care interzic utilizarea muncii forțate sau obligatorii, </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b) să asigure angajaților condiții de muncă, inclusiv plata salariilor și a beneficiilor, în conformitate cu toate legile în vigoare, </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c) să se asigure că toți angajații săi îndeplinesc cerințele legale referitoare la vârsta de muncă solicitată în țara de angajare. </w:t>
            </w:r>
          </w:p>
          <w:p w:rsidR="00AF1E8A"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Respectarea acestor cerințe este o condiție obligatorie pentru încheierea contractului. </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Furnizorul înțelege că trebuie să respecte cerințele privind controlul aspectelor de mediu, cu respectarea prevederilor legislației și reglementărilor în vigoare referitoare la </w:t>
            </w:r>
            <w:r w:rsidRPr="008224CB">
              <w:rPr>
                <w:rFonts w:ascii="Times New Roman" w:eastAsia="Times New Roman" w:hAnsi="Times New Roman" w:cs="Times New Roman"/>
                <w:kern w:val="0"/>
                <w:u w:val="single"/>
                <w:lang w:val="ro-RO" w:eastAsia="ro-RO"/>
              </w:rPr>
              <w:t>protecția mediului,</w:t>
            </w:r>
            <w:r w:rsidRPr="008224CB">
              <w:rPr>
                <w:rFonts w:ascii="Times New Roman" w:eastAsia="Times New Roman" w:hAnsi="Times New Roman" w:cs="Times New Roman"/>
                <w:kern w:val="0"/>
                <w:lang w:val="ro-RO" w:eastAsia="ro-RO"/>
              </w:rPr>
              <w:t xml:space="preserve"> astfel:</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lastRenderedPageBreak/>
              <w:t>a) Contractantul respectă principiile și elementele strategice care stau la baza O.U.G. nr. 195/2005, actualizată, privind protecția mediului, aprobată prin Legea nr. 265/2006;</w:t>
            </w:r>
          </w:p>
          <w:p w:rsidR="00AF1E8A"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b) Deșeurile rezultate ca urmare a înlocuirii componentelor defecte, aflate în perioada de garanție se vor preda operatorilor economici autorizați să colecteze, recicleze, valorifice/elimine deșeuri, cu respectarea Legii nr. 211/2011 (republicată) privind regimul deșeurilor, modificată și completată. Transportul deșeurilor se va face respectând H.G. nr. 1061/2008 privind transportul deșeurilor periculoase și nepericuloase pe teritoriul României.</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lastRenderedPageBreak/>
              <w:t xml:space="preserve">Informații suplimentare privind impozitarea, protecția mediului, sănătatea și siguranța la locul de muncă etc., conform prevederilor legale în România, care trebuie respectate în timpul pregătirii ofertei, pot fi obținute de către ofertant de la următoarele instituții publice: </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I. Ministerul Finanțelor Publice cu sediul în Strada Apolodor, nr. 17, Sector 5, București, România Email: publicinfo@mfinante.gv.ro Tel: 0040 021319009683/0040 0213199759, Fax: 0040 0213199735.</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II. Ministerul Mediului, Apelor și Pădurilor cu sediul în B-dul Libertății, nr. 12, Sector 5, București, România, Email: srp@mmediu.ro Tel: 0040 0214089500. </w:t>
            </w:r>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Informații suplimentare cu privire la convențiile de mediu pot fi găsite la următoarea adresă: </w:t>
            </w:r>
            <w:hyperlink r:id="rId9">
              <w:r w:rsidRPr="008224CB">
                <w:rPr>
                  <w:rFonts w:ascii="Times New Roman" w:eastAsia="Times New Roman" w:hAnsi="Times New Roman" w:cs="Times New Roman"/>
                  <w:color w:val="0563C1"/>
                  <w:kern w:val="0"/>
                  <w:u w:val="single"/>
                  <w:lang w:val="ro-RO" w:eastAsia="ro-RO"/>
                </w:rPr>
                <w:t>http://www.mmediu.ro/beta/domenii/relatii-interntionale/conventii-de-mediu/</w:t>
              </w:r>
            </w:hyperlink>
            <w:r w:rsidRPr="008224CB">
              <w:rPr>
                <w:rFonts w:ascii="Times New Roman" w:eastAsia="Times New Roman" w:hAnsi="Times New Roman" w:cs="Times New Roman"/>
                <w:kern w:val="0"/>
                <w:lang w:val="ro-RO" w:eastAsia="ro-RO"/>
              </w:rPr>
              <w:t xml:space="preserve"> </w:t>
            </w:r>
            <w:hyperlink r:id="rId10">
              <w:r w:rsidRPr="008224CB">
                <w:rPr>
                  <w:rFonts w:ascii="Times New Roman" w:eastAsia="Times New Roman" w:hAnsi="Times New Roman" w:cs="Times New Roman"/>
                  <w:color w:val="0563C1"/>
                  <w:kern w:val="0"/>
                  <w:u w:val="single"/>
                  <w:lang w:val="ro-RO" w:eastAsia="ro-RO"/>
                </w:rPr>
                <w:t>http://www.mmediu.ro/beta/domenii/relatiiinternationale/tratate-bilaterale/</w:t>
              </w:r>
            </w:hyperlink>
          </w:p>
          <w:p w:rsidR="00381C46"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III. Ministerul Muncii, Familiei, Protecției Sociale și Persoanele Vârstnice cu sediul în Dem. I. Dobrescu,     nr. 2-4, Sector 1, cod poștal 010026, București, România Email: relatiicupublicul@mmuncii.ro, Tel: 0040 213136267/00 402131585. </w:t>
            </w:r>
          </w:p>
          <w:p w:rsidR="00AF1E8A" w:rsidRPr="008224CB" w:rsidRDefault="00381C46" w:rsidP="008224CB">
            <w:pPr>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t xml:space="preserve">Informații suplimentare cu privire la convențiile sociale pot fi găsite la următoarea adresă: </w:t>
            </w:r>
            <w:hyperlink r:id="rId11">
              <w:r w:rsidRPr="008224CB">
                <w:rPr>
                  <w:rFonts w:ascii="Times New Roman" w:eastAsia="Times New Roman" w:hAnsi="Times New Roman" w:cs="Times New Roman"/>
                  <w:color w:val="0563C1"/>
                  <w:kern w:val="0"/>
                  <w:u w:val="single"/>
                  <w:lang w:val="ro-RO" w:eastAsia="ro-RO"/>
                </w:rPr>
                <w:t>http://www.mmuncii.ro/j33/index.php/ro/legislatie/relatii-internationale/acorduri-bilaterale-in-domeniul-circulatiei-forteidemunca</w:t>
              </w:r>
            </w:hyperlink>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rPr>
                <w:rFonts w:ascii="Times New Roman" w:hAnsi="Times New Roman" w:cs="Times New Roman"/>
                <w:lang w:val="ro-RO"/>
              </w:rPr>
            </w:pPr>
            <w:r w:rsidRPr="008224CB">
              <w:rPr>
                <w:rFonts w:ascii="Times New Roman" w:eastAsia="Times New Roman" w:hAnsi="Times New Roman" w:cs="Times New Roman"/>
                <w:b/>
                <w:kern w:val="0"/>
                <w:lang w:val="ro-RO" w:eastAsia="ro-RO"/>
              </w:rPr>
              <w:t>Managementul/Gestionarea Contractului și activități de raportare în cadrul Contractului</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AF1E8A">
        <w:tc>
          <w:tcPr>
            <w:tcW w:w="6974" w:type="dxa"/>
          </w:tcPr>
          <w:p w:rsidR="00AF1E8A" w:rsidRPr="008224CB" w:rsidRDefault="00381C46" w:rsidP="008224CB">
            <w:pPr>
              <w:ind w:firstLine="284"/>
              <w:jc w:val="both"/>
              <w:rPr>
                <w:rFonts w:ascii="Times New Roman" w:eastAsia="Times New Roman" w:hAnsi="Times New Roman" w:cs="Times New Roman"/>
                <w:kern w:val="0"/>
                <w:lang w:val="ro-RO" w:eastAsia="ro-RO"/>
              </w:rPr>
            </w:pPr>
            <w:r w:rsidRPr="008224CB">
              <w:rPr>
                <w:rFonts w:ascii="Times New Roman" w:eastAsia="Times New Roman" w:hAnsi="Times New Roman" w:cs="Times New Roman"/>
                <w:kern w:val="0"/>
                <w:lang w:val="ro-RO" w:eastAsia="ro-RO"/>
              </w:rPr>
              <w:lastRenderedPageBreak/>
              <w:t xml:space="preserve">Pe parcursul derulării Contractului, Autoritatea contractantă verifică la </w:t>
            </w:r>
            <w:r w:rsidRPr="008224CB">
              <w:rPr>
                <w:rFonts w:ascii="Times New Roman" w:eastAsia="Times New Roman" w:hAnsi="Times New Roman" w:cs="Times New Roman"/>
                <w:i/>
                <w:kern w:val="0"/>
                <w:lang w:val="ro-RO" w:eastAsia="ro-RO"/>
              </w:rPr>
              <w:t>intervale stabilite</w:t>
            </w:r>
            <w:r w:rsidRPr="008224CB">
              <w:rPr>
                <w:rFonts w:ascii="Times New Roman" w:eastAsia="Times New Roman" w:hAnsi="Times New Roman" w:cs="Times New Roman"/>
                <w:kern w:val="0"/>
                <w:lang w:val="ro-RO" w:eastAsia="ro-RO"/>
              </w:rPr>
              <w:t xml:space="preserve"> </w:t>
            </w:r>
            <w:r w:rsidRPr="008224CB">
              <w:rPr>
                <w:rFonts w:ascii="Times New Roman" w:eastAsia="Times New Roman" w:hAnsi="Times New Roman" w:cs="Times New Roman"/>
                <w:i/>
                <w:kern w:val="0"/>
                <w:lang w:val="ro-RO" w:eastAsia="ro-RO"/>
              </w:rPr>
              <w:t>și comunicate prin Caietul de sarcini</w:t>
            </w:r>
            <w:r w:rsidRPr="008224CB">
              <w:rPr>
                <w:rFonts w:ascii="Times New Roman" w:eastAsia="Times New Roman" w:hAnsi="Times New Roman" w:cs="Times New Roman"/>
                <w:kern w:val="0"/>
                <w:lang w:val="ro-RO" w:eastAsia="ro-RO"/>
              </w:rPr>
              <w:t xml:space="preserve"> dacă toate activitățile planificate au fost realizate conform cerințelor și că produsele au fost livrate și acceptate.</w:t>
            </w:r>
          </w:p>
        </w:tc>
        <w:tc>
          <w:tcPr>
            <w:tcW w:w="6975" w:type="dxa"/>
          </w:tcPr>
          <w:p w:rsidR="00AF1E8A" w:rsidRPr="008224CB" w:rsidRDefault="00AF1E8A" w:rsidP="008224CB">
            <w:pPr>
              <w:rPr>
                <w:rFonts w:ascii="Times New Roman" w:hAnsi="Times New Roman" w:cs="Times New Roman"/>
                <w:lang w:val="ro-RO"/>
              </w:rPr>
            </w:pPr>
          </w:p>
        </w:tc>
      </w:tr>
      <w:tr w:rsidR="00AF1E8A" w:rsidRPr="008224CB" w:rsidTr="00381C46">
        <w:trPr>
          <w:trHeight w:val="6713"/>
        </w:trPr>
        <w:tc>
          <w:tcPr>
            <w:tcW w:w="6974" w:type="dxa"/>
          </w:tcPr>
          <w:p w:rsidR="00381C46" w:rsidRPr="008224CB" w:rsidRDefault="00381C46" w:rsidP="008224CB">
            <w:pPr>
              <w:jc w:val="both"/>
              <w:rPr>
                <w:rFonts w:ascii="Times New Roman" w:eastAsia="Times New Roman" w:hAnsi="Times New Roman" w:cs="Times New Roman"/>
                <w:iCs/>
                <w:kern w:val="0"/>
                <w:lang w:val="ro-RO" w:eastAsia="ro-RO"/>
              </w:rPr>
            </w:pPr>
            <w:r w:rsidRPr="008224CB">
              <w:rPr>
                <w:rFonts w:ascii="Times New Roman" w:eastAsia="Times New Roman" w:hAnsi="Times New Roman" w:cs="Times New Roman"/>
                <w:iCs/>
                <w:kern w:val="0"/>
                <w:lang w:val="ro-RO" w:eastAsia="ro-RO"/>
              </w:rPr>
              <w:t xml:space="preserve">Managementul contractului include o componentă de management și o componentă administrativă (de administrare efectivă a contractului) și presupune </w:t>
            </w:r>
            <w:r w:rsidRPr="008224CB">
              <w:rPr>
                <w:rFonts w:ascii="Times New Roman" w:eastAsia="Times New Roman" w:hAnsi="Times New Roman" w:cs="Times New Roman"/>
                <w:b/>
                <w:iCs/>
                <w:kern w:val="0"/>
                <w:lang w:val="ro-RO" w:eastAsia="ro-RO"/>
              </w:rPr>
              <w:t xml:space="preserve">coordonarea </w:t>
            </w:r>
            <w:r w:rsidRPr="008224CB">
              <w:rPr>
                <w:rFonts w:ascii="Times New Roman" w:eastAsia="Times New Roman" w:hAnsi="Times New Roman" w:cs="Times New Roman"/>
                <w:iCs/>
                <w:kern w:val="0"/>
                <w:lang w:val="ro-RO" w:eastAsia="ro-RO"/>
              </w:rPr>
              <w:t xml:space="preserve">continuă, </w:t>
            </w:r>
            <w:r w:rsidRPr="008224CB">
              <w:rPr>
                <w:rFonts w:ascii="Times New Roman" w:eastAsia="Times New Roman" w:hAnsi="Times New Roman" w:cs="Times New Roman"/>
                <w:b/>
                <w:iCs/>
                <w:kern w:val="0"/>
                <w:lang w:val="ro-RO" w:eastAsia="ro-RO"/>
              </w:rPr>
              <w:t>monitorizarea</w:t>
            </w:r>
            <w:r w:rsidRPr="008224CB">
              <w:rPr>
                <w:rFonts w:ascii="Times New Roman" w:eastAsia="Times New Roman" w:hAnsi="Times New Roman" w:cs="Times New Roman"/>
                <w:iCs/>
                <w:kern w:val="0"/>
                <w:lang w:val="ro-RO" w:eastAsia="ro-RO"/>
              </w:rPr>
              <w:t xml:space="preserve">  și </w:t>
            </w:r>
            <w:r w:rsidRPr="008224CB">
              <w:rPr>
                <w:rFonts w:ascii="Times New Roman" w:eastAsia="Times New Roman" w:hAnsi="Times New Roman" w:cs="Times New Roman"/>
                <w:b/>
                <w:iCs/>
                <w:kern w:val="0"/>
                <w:lang w:val="ro-RO" w:eastAsia="ro-RO"/>
              </w:rPr>
              <w:t>controlul</w:t>
            </w:r>
            <w:r w:rsidRPr="008224CB">
              <w:rPr>
                <w:rFonts w:ascii="Times New Roman" w:eastAsia="Times New Roman" w:hAnsi="Times New Roman" w:cs="Times New Roman"/>
                <w:iCs/>
                <w:kern w:val="0"/>
                <w:lang w:val="ro-RO" w:eastAsia="ro-RO"/>
              </w:rPr>
              <w:t xml:space="preserve"> tuturor activităților și rezultatelor realizate de contractant.</w:t>
            </w:r>
          </w:p>
          <w:p w:rsidR="00381C46" w:rsidRPr="008224CB" w:rsidRDefault="00381C46" w:rsidP="008224CB">
            <w:p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b/>
                <w:i/>
                <w:kern w:val="0"/>
                <w:lang w:val="ro-RO" w:eastAsia="ro-RO"/>
              </w:rPr>
              <w:t xml:space="preserve">Coordonarea </w:t>
            </w:r>
            <w:r w:rsidRPr="008224CB">
              <w:rPr>
                <w:rFonts w:ascii="Times New Roman" w:eastAsia="Times New Roman" w:hAnsi="Times New Roman" w:cs="Times New Roman"/>
                <w:i/>
                <w:kern w:val="0"/>
                <w:lang w:val="ro-RO" w:eastAsia="ro-RO"/>
              </w:rPr>
              <w:t xml:space="preserve">implică: </w:t>
            </w:r>
          </w:p>
          <w:p w:rsidR="00381C46" w:rsidRPr="008224CB" w:rsidRDefault="00381C46" w:rsidP="008224CB">
            <w:pPr>
              <w:numPr>
                <w:ilvl w:val="0"/>
                <w:numId w:val="9"/>
              </w:num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 xml:space="preserve">organizarea întâlnirilor de analiză a modalității de executare a contractului, </w:t>
            </w:r>
          </w:p>
          <w:p w:rsidR="00381C46" w:rsidRPr="008224CB" w:rsidRDefault="00381C46" w:rsidP="008224CB">
            <w:pPr>
              <w:numPr>
                <w:ilvl w:val="0"/>
                <w:numId w:val="9"/>
              </w:num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 xml:space="preserve">coordonarea resurselor implicate și a activităților realizate în executarea contractului; </w:t>
            </w:r>
          </w:p>
          <w:p w:rsidR="00381C46" w:rsidRPr="008224CB" w:rsidRDefault="00381C46" w:rsidP="008224CB">
            <w:p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b/>
                <w:i/>
                <w:kern w:val="0"/>
                <w:lang w:val="ro-RO" w:eastAsia="ro-RO"/>
              </w:rPr>
              <w:t xml:space="preserve">Monitorizarea </w:t>
            </w:r>
            <w:r w:rsidRPr="008224CB">
              <w:rPr>
                <w:rFonts w:ascii="Times New Roman" w:eastAsia="Times New Roman" w:hAnsi="Times New Roman" w:cs="Times New Roman"/>
                <w:i/>
                <w:kern w:val="0"/>
                <w:lang w:val="ro-RO" w:eastAsia="ro-RO"/>
              </w:rPr>
              <w:t xml:space="preserve">implică: </w:t>
            </w:r>
          </w:p>
          <w:p w:rsidR="00381C46" w:rsidRPr="008224CB" w:rsidRDefault="00381C46" w:rsidP="008224CB">
            <w:pPr>
              <w:numPr>
                <w:ilvl w:val="0"/>
                <w:numId w:val="10"/>
              </w:num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 xml:space="preserve">Analiza/măsurarea și evaluarea modalității de executare a obligațiilor contractuale prin raportare la prevederile contractuale. Pentru activitățile de monitorizare se utilizează cel puțin următoarele elemente: </w:t>
            </w:r>
          </w:p>
          <w:p w:rsidR="00381C46" w:rsidRPr="008224CB" w:rsidRDefault="00381C46" w:rsidP="008224CB">
            <w:pPr>
              <w:numPr>
                <w:ilvl w:val="1"/>
                <w:numId w:val="10"/>
              </w:num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 xml:space="preserve">Informațiile din propunerea tehnică, pe baza cerințelor din caietul de Sarcini, </w:t>
            </w:r>
          </w:p>
          <w:p w:rsidR="00381C46" w:rsidRPr="008224CB" w:rsidRDefault="00381C46" w:rsidP="008224CB">
            <w:pPr>
              <w:numPr>
                <w:ilvl w:val="1"/>
                <w:numId w:val="10"/>
              </w:num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 xml:space="preserve">Informațiile din propunerea financiară și clauzele contractuale privind modalitatea de plată; </w:t>
            </w:r>
          </w:p>
          <w:p w:rsidR="00381C46" w:rsidRPr="008224CB" w:rsidRDefault="00381C46" w:rsidP="008224CB">
            <w:pPr>
              <w:numPr>
                <w:ilvl w:val="0"/>
                <w:numId w:val="10"/>
              </w:num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i/>
                <w:kern w:val="0"/>
                <w:lang w:val="ro-RO" w:eastAsia="ro-RO"/>
              </w:rPr>
              <w:t xml:space="preserve">Constatarea conformității prin acceptarea produselor livrate, pe baza procedurii și criteriilor de recepție incluse în caietul de sarcini, condițiile contractuale; </w:t>
            </w:r>
          </w:p>
          <w:p w:rsidR="00AF1E8A" w:rsidRPr="008224CB" w:rsidRDefault="00381C46" w:rsidP="008224CB">
            <w:pPr>
              <w:jc w:val="both"/>
              <w:rPr>
                <w:rFonts w:ascii="Times New Roman" w:eastAsia="Times New Roman" w:hAnsi="Times New Roman" w:cs="Times New Roman"/>
                <w:i/>
                <w:kern w:val="0"/>
                <w:lang w:val="ro-RO" w:eastAsia="ro-RO"/>
              </w:rPr>
            </w:pPr>
            <w:r w:rsidRPr="008224CB">
              <w:rPr>
                <w:rFonts w:ascii="Times New Roman" w:eastAsia="Times New Roman" w:hAnsi="Times New Roman" w:cs="Times New Roman"/>
                <w:b/>
                <w:i/>
                <w:kern w:val="0"/>
                <w:lang w:val="ro-RO" w:eastAsia="ro-RO"/>
              </w:rPr>
              <w:t xml:space="preserve">Controlul </w:t>
            </w:r>
            <w:r w:rsidRPr="008224CB">
              <w:rPr>
                <w:rFonts w:ascii="Times New Roman" w:eastAsia="Times New Roman" w:hAnsi="Times New Roman" w:cs="Times New Roman"/>
                <w:i/>
                <w:kern w:val="0"/>
                <w:lang w:val="ro-RO" w:eastAsia="ro-RO"/>
              </w:rPr>
              <w:t>implică identificarea acțiunilor corective pentru abordarea abaterilor de la condițiile contractuale, constatate în cadrul întâlnirilor dintre contractant și autoritatea /entitatea contractantă</w:t>
            </w:r>
          </w:p>
        </w:tc>
        <w:tc>
          <w:tcPr>
            <w:tcW w:w="6975" w:type="dxa"/>
          </w:tcPr>
          <w:p w:rsidR="00AF1E8A" w:rsidRPr="008224CB" w:rsidRDefault="00AF1E8A" w:rsidP="008224CB">
            <w:pPr>
              <w:rPr>
                <w:rFonts w:ascii="Times New Roman" w:hAnsi="Times New Roman" w:cs="Times New Roman"/>
                <w:lang w:val="ro-RO"/>
              </w:rPr>
            </w:pPr>
          </w:p>
        </w:tc>
      </w:tr>
    </w:tbl>
    <w:p w:rsidR="00E54836" w:rsidRPr="008224CB" w:rsidRDefault="00E54836" w:rsidP="008224CB">
      <w:pPr>
        <w:spacing w:after="0"/>
        <w:rPr>
          <w:rFonts w:ascii="Times New Roman" w:hAnsi="Times New Roman" w:cs="Times New Roman"/>
          <w:lang w:val="ro-RO"/>
        </w:rPr>
      </w:pPr>
    </w:p>
    <w:sectPr w:rsidR="00E54836" w:rsidRPr="008224CB" w:rsidSect="00AF1E8A">
      <w:headerReference w:type="default" r:id="rId12"/>
      <w:pgSz w:w="16839" w:h="11907" w:orient="landscape" w:code="9"/>
      <w:pgMar w:top="1170" w:right="1440" w:bottom="1107" w:left="1440" w:header="562" w:footer="562" w:gutter="0"/>
      <w:paperSrc w:firs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B31" w:rsidRDefault="002E1B31" w:rsidP="00AF1E8A">
      <w:pPr>
        <w:spacing w:after="0"/>
      </w:pPr>
      <w:r>
        <w:separator/>
      </w:r>
    </w:p>
  </w:endnote>
  <w:endnote w:type="continuationSeparator" w:id="0">
    <w:p w:rsidR="002E1B31" w:rsidRDefault="002E1B31" w:rsidP="00AF1E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B31" w:rsidRDefault="002E1B31" w:rsidP="00AF1E8A">
      <w:pPr>
        <w:spacing w:after="0"/>
      </w:pPr>
      <w:r>
        <w:separator/>
      </w:r>
    </w:p>
  </w:footnote>
  <w:footnote w:type="continuationSeparator" w:id="0">
    <w:p w:rsidR="002E1B31" w:rsidRDefault="002E1B31" w:rsidP="00AF1E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8A" w:rsidRDefault="00C92018" w:rsidP="00AF1E8A">
    <w:pPr>
      <w:pStyle w:val="Header"/>
      <w:tabs>
        <w:tab w:val="clear" w:pos="4680"/>
        <w:tab w:val="clear" w:pos="9360"/>
        <w:tab w:val="left" w:pos="1530"/>
      </w:tabs>
      <w:jc w:val="center"/>
      <w:rPr>
        <w:b/>
        <w:bCs/>
      </w:rPr>
    </w:pPr>
    <w:r>
      <w:rPr>
        <w:b/>
        <w:bCs/>
        <w:noProof/>
      </w:rPr>
      <w:drawing>
        <wp:inline distT="0" distB="0" distL="0" distR="0">
          <wp:extent cx="5761355" cy="518160"/>
          <wp:effectExtent l="0" t="0" r="0" b="0"/>
          <wp:docPr id="139675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p>
  <w:p w:rsidR="00AF1E8A" w:rsidRDefault="00AF1E8A" w:rsidP="00AF1E8A">
    <w:pPr>
      <w:pStyle w:val="Header"/>
      <w:tabs>
        <w:tab w:val="clear" w:pos="4680"/>
        <w:tab w:val="clear" w:pos="9360"/>
        <w:tab w:val="left" w:pos="1530"/>
      </w:tabs>
      <w:jc w:val="center"/>
      <w:rPr>
        <w:b/>
        <w:bCs/>
      </w:rPr>
    </w:pPr>
  </w:p>
  <w:p w:rsidR="00AF1E8A" w:rsidRDefault="00AF1E8A" w:rsidP="00AF1E8A">
    <w:pPr>
      <w:pStyle w:val="Header"/>
      <w:tabs>
        <w:tab w:val="clear" w:pos="4680"/>
        <w:tab w:val="clear" w:pos="9360"/>
        <w:tab w:val="left" w:pos="1530"/>
      </w:tabs>
      <w:jc w:val="center"/>
      <w:rPr>
        <w:b/>
        <w:bCs/>
      </w:rPr>
    </w:pPr>
  </w:p>
  <w:p w:rsidR="00AF1E8A" w:rsidRPr="00AF1E8A" w:rsidRDefault="00AF1E8A" w:rsidP="00AF1E8A">
    <w:pPr>
      <w:pStyle w:val="Header"/>
      <w:tabs>
        <w:tab w:val="clear" w:pos="4680"/>
        <w:tab w:val="clear" w:pos="9360"/>
        <w:tab w:val="left" w:pos="1530"/>
      </w:tabs>
      <w:jc w:val="center"/>
      <w:rPr>
        <w:b/>
        <w:bCs/>
      </w:rPr>
    </w:pPr>
    <w:r w:rsidRPr="00AF1E8A">
      <w:rPr>
        <w:b/>
        <w:bCs/>
      </w:rPr>
      <w:t>MATRICE DE CONFORMITATE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A82"/>
    <w:multiLevelType w:val="multilevel"/>
    <w:tmpl w:val="51C6A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86529E"/>
    <w:multiLevelType w:val="multilevel"/>
    <w:tmpl w:val="824401D0"/>
    <w:lvl w:ilvl="0">
      <w:start w:val="1"/>
      <w:numFmt w:val="lowerLetter"/>
      <w:lvlText w:val="%1)"/>
      <w:lvlJc w:val="left"/>
      <w:pPr>
        <w:ind w:left="786" w:hanging="360"/>
      </w:pPr>
      <w:rPr>
        <w:rFonts w:ascii="Times New Roman" w:eastAsia="Times New Roman" w:hAnsi="Times New Roman" w:cs="Times New Roman"/>
        <w:i w:val="0"/>
      </w:rPr>
    </w:lvl>
    <w:lvl w:ilvl="1">
      <w:start w:val="1"/>
      <w:numFmt w:val="lowerLetter"/>
      <w:lvlText w:val="%2."/>
      <w:lvlJc w:val="left"/>
      <w:pPr>
        <w:ind w:left="1506" w:hanging="360"/>
      </w:p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nsid w:val="388D44B2"/>
    <w:multiLevelType w:val="multilevel"/>
    <w:tmpl w:val="4650BFE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EB65C89"/>
    <w:multiLevelType w:val="multilevel"/>
    <w:tmpl w:val="741CD2F6"/>
    <w:lvl w:ilvl="0">
      <w:start w:val="1"/>
      <w:numFmt w:val="lowerRoman"/>
      <w:lvlText w:val="%1."/>
      <w:lvlJc w:val="righ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57DF483E"/>
    <w:multiLevelType w:val="multilevel"/>
    <w:tmpl w:val="6C42B09C"/>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FD94262"/>
    <w:multiLevelType w:val="hybridMultilevel"/>
    <w:tmpl w:val="BD0C0DE8"/>
    <w:lvl w:ilvl="0" w:tplc="AA4A80E2">
      <w:start w:val="9"/>
      <w:numFmt w:val="decimal"/>
      <w:lvlText w:val="%1."/>
      <w:lvlJc w:val="left"/>
      <w:pPr>
        <w:ind w:left="646" w:hanging="360"/>
      </w:pPr>
      <w:rPr>
        <w:rFonts w:eastAsia="Times New Roman" w:hint="default"/>
        <w:b/>
        <w:i w:val="0"/>
      </w:rPr>
    </w:lvl>
    <w:lvl w:ilvl="1" w:tplc="04180019" w:tentative="1">
      <w:start w:val="1"/>
      <w:numFmt w:val="lowerLetter"/>
      <w:lvlText w:val="%2."/>
      <w:lvlJc w:val="left"/>
      <w:pPr>
        <w:ind w:left="1366" w:hanging="360"/>
      </w:pPr>
    </w:lvl>
    <w:lvl w:ilvl="2" w:tplc="0418001B" w:tentative="1">
      <w:start w:val="1"/>
      <w:numFmt w:val="lowerRoman"/>
      <w:lvlText w:val="%3."/>
      <w:lvlJc w:val="right"/>
      <w:pPr>
        <w:ind w:left="2086" w:hanging="180"/>
      </w:pPr>
    </w:lvl>
    <w:lvl w:ilvl="3" w:tplc="0418000F" w:tentative="1">
      <w:start w:val="1"/>
      <w:numFmt w:val="decimal"/>
      <w:lvlText w:val="%4."/>
      <w:lvlJc w:val="left"/>
      <w:pPr>
        <w:ind w:left="2806" w:hanging="360"/>
      </w:pPr>
    </w:lvl>
    <w:lvl w:ilvl="4" w:tplc="04180019" w:tentative="1">
      <w:start w:val="1"/>
      <w:numFmt w:val="lowerLetter"/>
      <w:lvlText w:val="%5."/>
      <w:lvlJc w:val="left"/>
      <w:pPr>
        <w:ind w:left="3526" w:hanging="360"/>
      </w:pPr>
    </w:lvl>
    <w:lvl w:ilvl="5" w:tplc="0418001B" w:tentative="1">
      <w:start w:val="1"/>
      <w:numFmt w:val="lowerRoman"/>
      <w:lvlText w:val="%6."/>
      <w:lvlJc w:val="right"/>
      <w:pPr>
        <w:ind w:left="4246" w:hanging="180"/>
      </w:pPr>
    </w:lvl>
    <w:lvl w:ilvl="6" w:tplc="0418000F" w:tentative="1">
      <w:start w:val="1"/>
      <w:numFmt w:val="decimal"/>
      <w:lvlText w:val="%7."/>
      <w:lvlJc w:val="left"/>
      <w:pPr>
        <w:ind w:left="4966" w:hanging="360"/>
      </w:pPr>
    </w:lvl>
    <w:lvl w:ilvl="7" w:tplc="04180019" w:tentative="1">
      <w:start w:val="1"/>
      <w:numFmt w:val="lowerLetter"/>
      <w:lvlText w:val="%8."/>
      <w:lvlJc w:val="left"/>
      <w:pPr>
        <w:ind w:left="5686" w:hanging="360"/>
      </w:pPr>
    </w:lvl>
    <w:lvl w:ilvl="8" w:tplc="0418001B" w:tentative="1">
      <w:start w:val="1"/>
      <w:numFmt w:val="lowerRoman"/>
      <w:lvlText w:val="%9."/>
      <w:lvlJc w:val="right"/>
      <w:pPr>
        <w:ind w:left="6406" w:hanging="180"/>
      </w:pPr>
    </w:lvl>
  </w:abstractNum>
  <w:abstractNum w:abstractNumId="6">
    <w:nsid w:val="73AC529B"/>
    <w:multiLevelType w:val="multilevel"/>
    <w:tmpl w:val="A350DDB0"/>
    <w:lvl w:ilvl="0">
      <w:start w:val="1"/>
      <w:numFmt w:val="lowerLetter"/>
      <w:lvlText w:val="%1."/>
      <w:lvlJc w:val="left"/>
      <w:pPr>
        <w:ind w:left="720" w:hanging="360"/>
      </w:pPr>
    </w:lvl>
    <w:lvl w:ilvl="1">
      <w:start w:val="1"/>
      <w:numFmt w:val="lowerLetter"/>
      <w:lvlText w:val="%2."/>
      <w:lvlJc w:val="left"/>
      <w:pPr>
        <w:ind w:left="654" w:hanging="358"/>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7">
    <w:nsid w:val="772E74D9"/>
    <w:multiLevelType w:val="hybridMultilevel"/>
    <w:tmpl w:val="9148E6DE"/>
    <w:lvl w:ilvl="0" w:tplc="79DC932C">
      <w:start w:val="1"/>
      <w:numFmt w:val="lowerLetter"/>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8">
    <w:nsid w:val="7B901663"/>
    <w:multiLevelType w:val="multilevel"/>
    <w:tmpl w:val="363AADC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BC625DE"/>
    <w:multiLevelType w:val="multilevel"/>
    <w:tmpl w:val="E99CA628"/>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2"/>
  </w:num>
  <w:num w:numId="3">
    <w:abstractNumId w:val="1"/>
  </w:num>
  <w:num w:numId="4">
    <w:abstractNumId w:val="6"/>
  </w:num>
  <w:num w:numId="5">
    <w:abstractNumId w:val="5"/>
  </w:num>
  <w:num w:numId="6">
    <w:abstractNumId w:val="7"/>
  </w:num>
  <w:num w:numId="7">
    <w:abstractNumId w:val="3"/>
  </w:num>
  <w:num w:numId="8">
    <w:abstractNumId w:val="0"/>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B52A34"/>
    <w:rsid w:val="000D496A"/>
    <w:rsid w:val="00113278"/>
    <w:rsid w:val="002E1B31"/>
    <w:rsid w:val="00381C46"/>
    <w:rsid w:val="003B2F13"/>
    <w:rsid w:val="00510CE1"/>
    <w:rsid w:val="005C1DD0"/>
    <w:rsid w:val="007D335B"/>
    <w:rsid w:val="008224CB"/>
    <w:rsid w:val="00902EA1"/>
    <w:rsid w:val="00A264C5"/>
    <w:rsid w:val="00AF1E8A"/>
    <w:rsid w:val="00B52A34"/>
    <w:rsid w:val="00C92018"/>
    <w:rsid w:val="00CE4D86"/>
    <w:rsid w:val="00E54836"/>
    <w:rsid w:val="00FE7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E8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1E8A"/>
    <w:pPr>
      <w:tabs>
        <w:tab w:val="center" w:pos="4680"/>
        <w:tab w:val="right" w:pos="9360"/>
      </w:tabs>
      <w:spacing w:after="0"/>
    </w:pPr>
  </w:style>
  <w:style w:type="character" w:customStyle="1" w:styleId="HeaderChar">
    <w:name w:val="Header Char"/>
    <w:basedOn w:val="DefaultParagraphFont"/>
    <w:link w:val="Header"/>
    <w:uiPriority w:val="99"/>
    <w:rsid w:val="00AF1E8A"/>
  </w:style>
  <w:style w:type="paragraph" w:styleId="Footer">
    <w:name w:val="footer"/>
    <w:basedOn w:val="Normal"/>
    <w:link w:val="FooterChar"/>
    <w:uiPriority w:val="99"/>
    <w:unhideWhenUsed/>
    <w:rsid w:val="00AF1E8A"/>
    <w:pPr>
      <w:tabs>
        <w:tab w:val="center" w:pos="4680"/>
        <w:tab w:val="right" w:pos="9360"/>
      </w:tabs>
      <w:spacing w:after="0"/>
    </w:pPr>
  </w:style>
  <w:style w:type="character" w:customStyle="1" w:styleId="FooterChar">
    <w:name w:val="Footer Char"/>
    <w:basedOn w:val="DefaultParagraphFont"/>
    <w:link w:val="Footer"/>
    <w:uiPriority w:val="99"/>
    <w:rsid w:val="00AF1E8A"/>
  </w:style>
  <w:style w:type="paragraph" w:styleId="BalloonText">
    <w:name w:val="Balloon Text"/>
    <w:basedOn w:val="Normal"/>
    <w:link w:val="BalloonTextChar"/>
    <w:uiPriority w:val="99"/>
    <w:semiHidden/>
    <w:unhideWhenUsed/>
    <w:rsid w:val="008224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4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p.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uncii.ro/j33/index.php/ro/legislatie/relatii-internationale/acorduri-bilaterale-in-domeniul-circulatiei-forteidemunca" TargetMode="External"/><Relationship Id="rId5" Type="http://schemas.openxmlformats.org/officeDocument/2006/relationships/webSettings" Target="webSettings.xml"/><Relationship Id="rId10" Type="http://schemas.openxmlformats.org/officeDocument/2006/relationships/hyperlink" Target="http://www.mmediu.ro/beta/domenii/relatiiinternationale/tratate-bilaterale/" TargetMode="External"/><Relationship Id="rId4" Type="http://schemas.openxmlformats.org/officeDocument/2006/relationships/settings" Target="settings.xml"/><Relationship Id="rId9" Type="http://schemas.openxmlformats.org/officeDocument/2006/relationships/hyperlink" Target="http://www.mmediu.ro/beta/domenii/relatii-interntionale/conventii-de-medi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98E1B-56FD-42CE-AD70-C872681C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Dobre</dc:creator>
  <cp:lastModifiedBy>Marian Badescu</cp:lastModifiedBy>
  <cp:revision>4</cp:revision>
  <dcterms:created xsi:type="dcterms:W3CDTF">2026-02-11T10:38:00Z</dcterms:created>
  <dcterms:modified xsi:type="dcterms:W3CDTF">2026-02-11T11:46:00Z</dcterms:modified>
</cp:coreProperties>
</file>