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6842" w14:textId="77777777" w:rsidR="002447CD" w:rsidRPr="00541064" w:rsidRDefault="002447CD">
      <w:pPr>
        <w:rPr>
          <w:sz w:val="24"/>
          <w:szCs w:val="24"/>
          <w:lang w:val="it-IT"/>
        </w:rPr>
      </w:pPr>
      <w:r w:rsidRPr="00541064">
        <w:rPr>
          <w:sz w:val="24"/>
          <w:szCs w:val="24"/>
          <w:lang w:val="it-IT"/>
        </w:rPr>
        <w:t>Ofertant……………………………………………………..</w:t>
      </w:r>
    </w:p>
    <w:p w14:paraId="02307E2D" w14:textId="77777777" w:rsidR="002447CD" w:rsidRPr="00541064" w:rsidRDefault="002447CD">
      <w:pPr>
        <w:rPr>
          <w:lang w:val="it-IT"/>
        </w:rPr>
      </w:pPr>
      <w:r w:rsidRPr="00541064">
        <w:rPr>
          <w:lang w:val="it-IT"/>
        </w:rPr>
        <w:t>Propunere tehnica asigurari obligatorii RCA</w:t>
      </w:r>
    </w:p>
    <w:tbl>
      <w:tblPr>
        <w:tblStyle w:val="TableGrid"/>
        <w:tblW w:w="0" w:type="auto"/>
        <w:tblLook w:val="04A0" w:firstRow="1" w:lastRow="0" w:firstColumn="1" w:lastColumn="0" w:noHBand="0" w:noVBand="1"/>
      </w:tblPr>
      <w:tblGrid>
        <w:gridCol w:w="4815"/>
        <w:gridCol w:w="4535"/>
      </w:tblGrid>
      <w:tr w:rsidR="00DD4379" w14:paraId="10864302" w14:textId="77777777" w:rsidTr="00351BCA">
        <w:tc>
          <w:tcPr>
            <w:tcW w:w="4815" w:type="dxa"/>
          </w:tcPr>
          <w:p w14:paraId="196541CB" w14:textId="77777777" w:rsidR="00DD4379" w:rsidRPr="00541064" w:rsidRDefault="00DD4379">
            <w:pPr>
              <w:rPr>
                <w:sz w:val="20"/>
                <w:szCs w:val="20"/>
                <w:lang w:val="it-IT"/>
              </w:rPr>
            </w:pPr>
            <w:r w:rsidRPr="00541064">
              <w:rPr>
                <w:sz w:val="20"/>
                <w:szCs w:val="20"/>
                <w:lang w:val="it-IT"/>
              </w:rPr>
              <w:t>Solicitari din caietul de sarcini</w:t>
            </w:r>
          </w:p>
        </w:tc>
        <w:tc>
          <w:tcPr>
            <w:tcW w:w="4535" w:type="dxa"/>
          </w:tcPr>
          <w:p w14:paraId="5C99BA20" w14:textId="77777777" w:rsidR="00DD4379" w:rsidRPr="00DD4379" w:rsidRDefault="00DD4379">
            <w:pPr>
              <w:rPr>
                <w:sz w:val="20"/>
                <w:szCs w:val="20"/>
              </w:rPr>
            </w:pPr>
            <w:proofErr w:type="spellStart"/>
            <w:r w:rsidRPr="00DD4379">
              <w:rPr>
                <w:sz w:val="20"/>
                <w:szCs w:val="20"/>
              </w:rPr>
              <w:t>Propunere</w:t>
            </w:r>
            <w:proofErr w:type="spellEnd"/>
            <w:r w:rsidRPr="00DD4379">
              <w:rPr>
                <w:sz w:val="20"/>
                <w:szCs w:val="20"/>
              </w:rPr>
              <w:t xml:space="preserve"> </w:t>
            </w:r>
            <w:proofErr w:type="spellStart"/>
            <w:r w:rsidRPr="00DD4379">
              <w:rPr>
                <w:sz w:val="20"/>
                <w:szCs w:val="20"/>
              </w:rPr>
              <w:t>tehnica</w:t>
            </w:r>
            <w:proofErr w:type="spellEnd"/>
          </w:p>
        </w:tc>
      </w:tr>
      <w:tr w:rsidR="00052955" w:rsidRPr="00541064" w14:paraId="6D5A06D3" w14:textId="77777777" w:rsidTr="00351BCA">
        <w:tc>
          <w:tcPr>
            <w:tcW w:w="4815" w:type="dxa"/>
          </w:tcPr>
          <w:p w14:paraId="09C54DFD" w14:textId="77777777" w:rsidR="00052955" w:rsidRPr="00052955" w:rsidRDefault="00052955" w:rsidP="00052955">
            <w:pPr>
              <w:rPr>
                <w:rFonts w:eastAsia="Times New Roman" w:cstheme="minorHAnsi"/>
                <w:b/>
                <w:sz w:val="20"/>
                <w:szCs w:val="20"/>
                <w:lang w:val="ro-RO"/>
              </w:rPr>
            </w:pPr>
            <w:proofErr w:type="spellStart"/>
            <w:r w:rsidRPr="00052955">
              <w:rPr>
                <w:rFonts w:eastAsia="Times New Roman" w:cstheme="minorHAnsi"/>
                <w:b/>
                <w:sz w:val="20"/>
                <w:szCs w:val="20"/>
                <w:lang w:val="ro-RO"/>
              </w:rPr>
              <w:t>Cantitati</w:t>
            </w:r>
            <w:proofErr w:type="spellEnd"/>
            <w:r w:rsidRPr="00052955">
              <w:rPr>
                <w:rFonts w:eastAsia="Times New Roman" w:cstheme="minorHAnsi"/>
                <w:b/>
                <w:sz w:val="20"/>
                <w:szCs w:val="20"/>
                <w:lang w:val="ro-RO"/>
              </w:rPr>
              <w:t xml:space="preserve"> solicitate</w:t>
            </w:r>
          </w:p>
          <w:p w14:paraId="714DA778" w14:textId="420FBAB6" w:rsidR="00052955" w:rsidRPr="00541064" w:rsidRDefault="00052955" w:rsidP="00CF09F2">
            <w:pPr>
              <w:rPr>
                <w:sz w:val="20"/>
                <w:szCs w:val="20"/>
                <w:lang w:val="it-IT"/>
              </w:rPr>
            </w:pPr>
            <w:r>
              <w:rPr>
                <w:rFonts w:eastAsia="Times New Roman" w:cstheme="minorHAnsi"/>
                <w:sz w:val="20"/>
                <w:szCs w:val="20"/>
                <w:lang w:val="ro-RO"/>
              </w:rPr>
              <w:t>-</w:t>
            </w:r>
            <w:r w:rsidRPr="00052955">
              <w:rPr>
                <w:rFonts w:eastAsia="Times New Roman" w:cstheme="minorHAnsi"/>
                <w:sz w:val="20"/>
                <w:szCs w:val="20"/>
                <w:lang w:val="ro-RO"/>
              </w:rPr>
              <w:t xml:space="preserve">Asigurarea obligatorie tip RCA pentru un </w:t>
            </w:r>
            <w:proofErr w:type="spellStart"/>
            <w:r w:rsidRPr="00052955">
              <w:rPr>
                <w:rFonts w:eastAsia="Times New Roman" w:cstheme="minorHAnsi"/>
                <w:sz w:val="20"/>
                <w:szCs w:val="20"/>
                <w:lang w:val="ro-RO"/>
              </w:rPr>
              <w:t>numar</w:t>
            </w:r>
            <w:proofErr w:type="spellEnd"/>
            <w:r w:rsidRPr="00052955">
              <w:rPr>
                <w:rFonts w:eastAsia="Times New Roman" w:cstheme="minorHAnsi"/>
                <w:sz w:val="20"/>
                <w:szCs w:val="20"/>
                <w:lang w:val="ro-RO"/>
              </w:rPr>
              <w:t xml:space="preserve"> de  </w:t>
            </w:r>
            <w:r w:rsidR="00CF09F2">
              <w:rPr>
                <w:rFonts w:eastAsia="Times New Roman" w:cstheme="minorHAnsi"/>
                <w:sz w:val="20"/>
                <w:szCs w:val="20"/>
                <w:lang w:val="ro-RO"/>
              </w:rPr>
              <w:t>5</w:t>
            </w:r>
            <w:r w:rsidR="00541064">
              <w:rPr>
                <w:rFonts w:eastAsia="Times New Roman" w:cstheme="minorHAnsi"/>
                <w:sz w:val="20"/>
                <w:szCs w:val="20"/>
                <w:lang w:val="ro-RO"/>
              </w:rPr>
              <w:t>5</w:t>
            </w:r>
            <w:r w:rsidRPr="00052955">
              <w:rPr>
                <w:rFonts w:eastAsia="Times New Roman" w:cstheme="minorHAnsi"/>
                <w:sz w:val="20"/>
                <w:szCs w:val="20"/>
                <w:lang w:val="ro-RO"/>
              </w:rPr>
              <w:t xml:space="preserve"> de autovehicule cu datele de identificare in Anexa nr. 1</w:t>
            </w:r>
            <w:r w:rsidR="00CF09F2">
              <w:rPr>
                <w:rFonts w:eastAsia="Times New Roman" w:cstheme="minorHAnsi"/>
                <w:sz w:val="20"/>
                <w:szCs w:val="20"/>
                <w:lang w:val="ro-RO"/>
              </w:rPr>
              <w:t xml:space="preserve"> si in caietul de sarcini</w:t>
            </w:r>
          </w:p>
        </w:tc>
        <w:tc>
          <w:tcPr>
            <w:tcW w:w="4535" w:type="dxa"/>
          </w:tcPr>
          <w:p w14:paraId="4B1E8826" w14:textId="77777777" w:rsidR="00052955" w:rsidRPr="00541064" w:rsidRDefault="00052955">
            <w:pPr>
              <w:rPr>
                <w:sz w:val="20"/>
                <w:szCs w:val="20"/>
                <w:lang w:val="it-IT"/>
              </w:rPr>
            </w:pPr>
          </w:p>
        </w:tc>
      </w:tr>
      <w:tr w:rsidR="00DD4379" w:rsidRPr="00541064" w14:paraId="189CD97A" w14:textId="77777777" w:rsidTr="00351BCA">
        <w:tc>
          <w:tcPr>
            <w:tcW w:w="4815" w:type="dxa"/>
          </w:tcPr>
          <w:p w14:paraId="31C4B182" w14:textId="77777777" w:rsidR="00DD4379" w:rsidRPr="00541064" w:rsidRDefault="00DD4379">
            <w:pPr>
              <w:rPr>
                <w:sz w:val="20"/>
                <w:szCs w:val="20"/>
                <w:lang w:val="it-IT"/>
              </w:rPr>
            </w:pPr>
            <w:r w:rsidRPr="00541064">
              <w:rPr>
                <w:sz w:val="20"/>
                <w:szCs w:val="20"/>
                <w:lang w:val="it-IT"/>
              </w:rPr>
              <w:t>Conform Legii 132/2017 privind asigurarea obligatorie de raspundere civila auto pentru prejudicii produse tertilor prin accidente vehicule si tramvaie; (domeniul de aplicare a asigurării RCA, respectiv persoanele care au obligația să încheie contracte RCA și excepțiile de la această obligație, limitele teritoriale de aplicare, limitele de răspundere, obligațiile asiguratului, obligațiile asigurătorului RCA, riscurile acoperite și excluderile, elementele privind stabilirea și plata despăgubirilor, verificarea asigurării RCA, facilitățile și penalizările aplicabile asiguraților și asigurătorilor”);</w:t>
            </w:r>
          </w:p>
        </w:tc>
        <w:tc>
          <w:tcPr>
            <w:tcW w:w="4535" w:type="dxa"/>
          </w:tcPr>
          <w:p w14:paraId="61DA8E95" w14:textId="77777777" w:rsidR="00DD4379" w:rsidRPr="00541064" w:rsidRDefault="00DD4379">
            <w:pPr>
              <w:rPr>
                <w:sz w:val="36"/>
                <w:szCs w:val="36"/>
                <w:lang w:val="it-IT"/>
              </w:rPr>
            </w:pPr>
          </w:p>
        </w:tc>
      </w:tr>
      <w:tr w:rsidR="00DD4379" w14:paraId="224CB9A4" w14:textId="77777777" w:rsidTr="00351BCA">
        <w:tc>
          <w:tcPr>
            <w:tcW w:w="4815" w:type="dxa"/>
          </w:tcPr>
          <w:p w14:paraId="544FCDA6" w14:textId="77777777" w:rsidR="00DD4379" w:rsidRPr="00DD4379" w:rsidRDefault="00DD4379">
            <w:pPr>
              <w:rPr>
                <w:sz w:val="20"/>
                <w:szCs w:val="20"/>
              </w:rPr>
            </w:pPr>
            <w:proofErr w:type="spellStart"/>
            <w:r w:rsidRPr="00DD4379">
              <w:rPr>
                <w:sz w:val="20"/>
                <w:szCs w:val="20"/>
              </w:rPr>
              <w:t>Extinderi</w:t>
            </w:r>
            <w:proofErr w:type="spellEnd"/>
            <w:r w:rsidRPr="00DD4379">
              <w:rPr>
                <w:sz w:val="20"/>
                <w:szCs w:val="20"/>
              </w:rPr>
              <w:t xml:space="preserve"> </w:t>
            </w:r>
            <w:proofErr w:type="spellStart"/>
            <w:r w:rsidRPr="00DD4379">
              <w:rPr>
                <w:sz w:val="20"/>
                <w:szCs w:val="20"/>
              </w:rPr>
              <w:t>speciale</w:t>
            </w:r>
            <w:proofErr w:type="spellEnd"/>
          </w:p>
        </w:tc>
        <w:tc>
          <w:tcPr>
            <w:tcW w:w="4535" w:type="dxa"/>
          </w:tcPr>
          <w:p w14:paraId="14913937" w14:textId="77777777" w:rsidR="00DD4379" w:rsidRPr="00DD4379" w:rsidRDefault="00DD4379">
            <w:pPr>
              <w:rPr>
                <w:sz w:val="20"/>
                <w:szCs w:val="20"/>
              </w:rPr>
            </w:pPr>
            <w:proofErr w:type="spellStart"/>
            <w:r>
              <w:rPr>
                <w:sz w:val="20"/>
                <w:szCs w:val="20"/>
              </w:rPr>
              <w:t>Extinderi</w:t>
            </w:r>
            <w:proofErr w:type="spellEnd"/>
            <w:r>
              <w:rPr>
                <w:sz w:val="20"/>
                <w:szCs w:val="20"/>
              </w:rPr>
              <w:t xml:space="preserve"> </w:t>
            </w:r>
            <w:proofErr w:type="spellStart"/>
            <w:r>
              <w:rPr>
                <w:sz w:val="20"/>
                <w:szCs w:val="20"/>
              </w:rPr>
              <w:t>speciale</w:t>
            </w:r>
            <w:proofErr w:type="spellEnd"/>
          </w:p>
        </w:tc>
      </w:tr>
      <w:tr w:rsidR="00DD4379" w:rsidRPr="00541064" w14:paraId="5E7717DE" w14:textId="77777777" w:rsidTr="00351BCA">
        <w:tc>
          <w:tcPr>
            <w:tcW w:w="4815" w:type="dxa"/>
          </w:tcPr>
          <w:p w14:paraId="747A8711" w14:textId="77777777" w:rsidR="00DD4379" w:rsidRPr="00541064" w:rsidRDefault="00DD4379">
            <w:pPr>
              <w:rPr>
                <w:sz w:val="20"/>
                <w:szCs w:val="20"/>
                <w:lang w:val="it-IT"/>
              </w:rPr>
            </w:pPr>
            <w:r w:rsidRPr="00541064">
              <w:rPr>
                <w:sz w:val="20"/>
                <w:szCs w:val="20"/>
                <w:lang w:val="it-IT"/>
              </w:rPr>
              <w:t>Polita de asigurare va acoperi si cazurile in care autovehicolul este condus de catre alta persoana decat cea incadrata ca sofer/ambulantier la SAJ Vaslui, dar care are calitatea de angajat al institutiei, imputernicit de a conduce autovehiculele institutiei (SAJ Vaslui), si detine permis de conducere valabil pentru categoria prevazuta de legislatia romaneasca</w:t>
            </w:r>
          </w:p>
        </w:tc>
        <w:tc>
          <w:tcPr>
            <w:tcW w:w="4535" w:type="dxa"/>
          </w:tcPr>
          <w:p w14:paraId="1B9C83C0" w14:textId="77777777" w:rsidR="00DD4379" w:rsidRPr="00541064" w:rsidRDefault="00DD4379">
            <w:pPr>
              <w:rPr>
                <w:sz w:val="36"/>
                <w:szCs w:val="36"/>
                <w:lang w:val="it-IT"/>
              </w:rPr>
            </w:pPr>
          </w:p>
        </w:tc>
      </w:tr>
      <w:tr w:rsidR="00052955" w:rsidRPr="00541064" w14:paraId="26F54E52" w14:textId="77777777" w:rsidTr="00351BCA">
        <w:tc>
          <w:tcPr>
            <w:tcW w:w="4815" w:type="dxa"/>
          </w:tcPr>
          <w:p w14:paraId="19DB858E" w14:textId="77777777" w:rsidR="00052955" w:rsidRPr="00541064" w:rsidRDefault="00052955" w:rsidP="00052955">
            <w:pPr>
              <w:ind w:left="66"/>
              <w:contextualSpacing/>
              <w:jc w:val="both"/>
              <w:rPr>
                <w:rFonts w:cstheme="minorHAnsi"/>
                <w:sz w:val="20"/>
                <w:szCs w:val="20"/>
                <w:lang w:val="it-IT"/>
              </w:rPr>
            </w:pPr>
            <w:r w:rsidRPr="00541064">
              <w:rPr>
                <w:rFonts w:cstheme="minorHAnsi"/>
                <w:sz w:val="20"/>
                <w:szCs w:val="20"/>
                <w:lang w:val="it-IT"/>
              </w:rPr>
              <w:t>-Conditiile prin care se stabileste aplicarea asigurarii obligatorii de raspundere civila auto, limitele teritoriale de acoperire, constatarea, evaluarea pagubelor si plata despagubirilor, conditiile de plata ale acestora, facilitatile aplicabile asiguratilor vor fi in conformitate cu prevederile legale in vigoare:</w:t>
            </w:r>
          </w:p>
          <w:p w14:paraId="159F4D43" w14:textId="77777777" w:rsidR="00052955" w:rsidRPr="00541064" w:rsidRDefault="00052955" w:rsidP="00052955">
            <w:pPr>
              <w:ind w:left="29"/>
              <w:contextualSpacing/>
              <w:jc w:val="both"/>
              <w:rPr>
                <w:rFonts w:cstheme="minorHAnsi"/>
                <w:sz w:val="20"/>
                <w:szCs w:val="20"/>
                <w:lang w:val="it-IT"/>
              </w:rPr>
            </w:pPr>
            <w:r w:rsidRPr="00541064">
              <w:rPr>
                <w:rFonts w:cstheme="minorHAnsi"/>
                <w:sz w:val="20"/>
                <w:szCs w:val="20"/>
                <w:lang w:val="it-IT"/>
              </w:rPr>
              <w:t>-Legea 132/2017 privind asigurarea obligatorie de raspundere civila auto pentru prejudicii produse tertilor prin accidente de vehicule si tramvaie;</w:t>
            </w:r>
          </w:p>
          <w:p w14:paraId="1B63D16B" w14:textId="77777777" w:rsidR="00052955" w:rsidRPr="00541064" w:rsidRDefault="00052955" w:rsidP="00052955">
            <w:pPr>
              <w:numPr>
                <w:ilvl w:val="0"/>
                <w:numId w:val="4"/>
              </w:numPr>
              <w:tabs>
                <w:tab w:val="clear" w:pos="720"/>
              </w:tabs>
              <w:ind w:left="171" w:hanging="142"/>
              <w:contextualSpacing/>
              <w:jc w:val="both"/>
              <w:rPr>
                <w:rFonts w:cstheme="minorHAnsi"/>
                <w:sz w:val="20"/>
                <w:szCs w:val="20"/>
                <w:lang w:val="it-IT"/>
              </w:rPr>
            </w:pPr>
            <w:r w:rsidRPr="00541064">
              <w:rPr>
                <w:rFonts w:cstheme="minorHAnsi"/>
                <w:sz w:val="20"/>
                <w:szCs w:val="20"/>
                <w:lang w:val="it-IT"/>
              </w:rPr>
              <w:t>Norma ASF 20/2017 privind asigurarile auto din Romania;</w:t>
            </w:r>
          </w:p>
          <w:p w14:paraId="5F65B3AF" w14:textId="77777777" w:rsidR="00052955" w:rsidRPr="00541064" w:rsidRDefault="00052955" w:rsidP="00052955">
            <w:pPr>
              <w:ind w:left="29"/>
              <w:contextualSpacing/>
              <w:jc w:val="both"/>
              <w:rPr>
                <w:rFonts w:cstheme="minorHAnsi"/>
                <w:sz w:val="20"/>
                <w:szCs w:val="20"/>
                <w:lang w:val="it-IT"/>
              </w:rPr>
            </w:pPr>
            <w:r w:rsidRPr="00541064">
              <w:rPr>
                <w:rFonts w:cstheme="minorHAnsi"/>
                <w:sz w:val="20"/>
                <w:szCs w:val="20"/>
                <w:lang w:val="it-IT"/>
              </w:rPr>
              <w:t>-Norma ASF 22/2017 privind metodologia de calcul a tarifelor de referinta pentru asigurarea obligatorie RCA pentru prejudicii produse tertilor prin accidente de vehicule si tramvaie.</w:t>
            </w:r>
          </w:p>
          <w:p w14:paraId="5BAB3B28" w14:textId="77777777" w:rsidR="00052955" w:rsidRPr="00541064" w:rsidRDefault="00052955" w:rsidP="0040638D">
            <w:pPr>
              <w:contextualSpacing/>
              <w:jc w:val="both"/>
              <w:rPr>
                <w:sz w:val="20"/>
                <w:szCs w:val="20"/>
                <w:lang w:val="it-IT"/>
              </w:rPr>
            </w:pPr>
            <w:r w:rsidRPr="00541064">
              <w:rPr>
                <w:rFonts w:cstheme="minorHAnsi"/>
                <w:sz w:val="20"/>
                <w:szCs w:val="20"/>
                <w:lang w:val="it-IT"/>
              </w:rPr>
              <w:t>-Asiguratorul va respecta in relatiile contractuale si celelalte prevederi legale incidente</w:t>
            </w:r>
          </w:p>
        </w:tc>
        <w:tc>
          <w:tcPr>
            <w:tcW w:w="4535" w:type="dxa"/>
          </w:tcPr>
          <w:p w14:paraId="53094DAA" w14:textId="77777777" w:rsidR="00052955" w:rsidRPr="00541064" w:rsidRDefault="00052955">
            <w:pPr>
              <w:rPr>
                <w:sz w:val="36"/>
                <w:szCs w:val="36"/>
                <w:lang w:val="it-IT"/>
              </w:rPr>
            </w:pPr>
          </w:p>
        </w:tc>
      </w:tr>
      <w:tr w:rsidR="00052955" w:rsidRPr="00541064" w14:paraId="707CC018" w14:textId="77777777" w:rsidTr="00351BCA">
        <w:tc>
          <w:tcPr>
            <w:tcW w:w="4815" w:type="dxa"/>
          </w:tcPr>
          <w:p w14:paraId="2BCA7848" w14:textId="77777777" w:rsidR="00052955" w:rsidRPr="00541064" w:rsidRDefault="00052955" w:rsidP="00052955">
            <w:pPr>
              <w:contextualSpacing/>
              <w:jc w:val="both"/>
              <w:rPr>
                <w:rFonts w:cstheme="minorHAnsi"/>
                <w:sz w:val="20"/>
                <w:szCs w:val="20"/>
                <w:lang w:val="it-IT"/>
              </w:rPr>
            </w:pPr>
            <w:r w:rsidRPr="00541064">
              <w:rPr>
                <w:rFonts w:cstheme="minorHAnsi"/>
                <w:sz w:val="20"/>
                <w:szCs w:val="20"/>
                <w:lang w:val="it-IT"/>
              </w:rPr>
              <w:t>-Riscul de neplata a despagubirilor pentru pagubele produse tertilor prin accidente de circulatie.</w:t>
            </w:r>
          </w:p>
          <w:p w14:paraId="1175297E" w14:textId="77777777" w:rsidR="00052955" w:rsidRPr="00541064" w:rsidRDefault="00052955" w:rsidP="00052955">
            <w:pPr>
              <w:ind w:left="66"/>
              <w:contextualSpacing/>
              <w:jc w:val="both"/>
              <w:rPr>
                <w:rFonts w:cstheme="minorHAnsi"/>
                <w:sz w:val="20"/>
                <w:szCs w:val="20"/>
                <w:lang w:val="it-IT"/>
              </w:rPr>
            </w:pPr>
            <w:r w:rsidRPr="00541064">
              <w:rPr>
                <w:rFonts w:cstheme="minorHAnsi"/>
                <w:sz w:val="20"/>
                <w:szCs w:val="20"/>
                <w:lang w:val="it-IT"/>
              </w:rPr>
              <w:t>-Riscul de emitere a politelor RCA cu intarziere</w:t>
            </w:r>
          </w:p>
        </w:tc>
        <w:tc>
          <w:tcPr>
            <w:tcW w:w="4535" w:type="dxa"/>
          </w:tcPr>
          <w:p w14:paraId="56C57740" w14:textId="77777777" w:rsidR="00052955" w:rsidRPr="00541064" w:rsidRDefault="00052955">
            <w:pPr>
              <w:rPr>
                <w:sz w:val="36"/>
                <w:szCs w:val="36"/>
                <w:lang w:val="it-IT"/>
              </w:rPr>
            </w:pPr>
          </w:p>
        </w:tc>
      </w:tr>
      <w:tr w:rsidR="00351BCA" w:rsidRPr="00541064" w14:paraId="4A9E1622" w14:textId="77777777" w:rsidTr="00351BCA">
        <w:tc>
          <w:tcPr>
            <w:tcW w:w="4815" w:type="dxa"/>
          </w:tcPr>
          <w:p w14:paraId="7CE23D7E" w14:textId="3DD8033E" w:rsidR="00351BCA" w:rsidRPr="00541064" w:rsidRDefault="00351BCA" w:rsidP="00052955">
            <w:pPr>
              <w:contextualSpacing/>
              <w:jc w:val="both"/>
              <w:rPr>
                <w:rFonts w:cstheme="minorHAnsi"/>
                <w:sz w:val="20"/>
                <w:szCs w:val="20"/>
                <w:lang w:val="it-IT"/>
              </w:rPr>
            </w:pPr>
            <w:r w:rsidRPr="00541064">
              <w:rPr>
                <w:sz w:val="20"/>
                <w:szCs w:val="20"/>
                <w:lang w:val="it-IT"/>
              </w:rPr>
              <w:t>Autorizatia de functionare din care sa reiasa ca ofertantul va putea desfasura activitatea de asigurare/reasigurare pentru anul 202</w:t>
            </w:r>
            <w:r w:rsidR="00541064">
              <w:rPr>
                <w:sz w:val="20"/>
                <w:szCs w:val="20"/>
                <w:lang w:val="it-IT"/>
              </w:rPr>
              <w:t>6</w:t>
            </w:r>
            <w:r w:rsidRPr="00541064">
              <w:rPr>
                <w:sz w:val="20"/>
                <w:szCs w:val="20"/>
                <w:lang w:val="it-IT"/>
              </w:rPr>
              <w:t>, conform Legea nr. 132/2017, privind asigurarea obligatorie de răspundere civilă auto pentru prejudicii produse terţilor prin accidente de vehicule şi tramvaie și Norma 20/2017 privind asigurările auto din România , Legea nr. 32/2000, privind activitatea şi supravegherea intermediarilor în asigurări şi reasigurări, cu modificările și completările ulterioare si Norma nr. 9/2015 privind autorizarea și funcționarea brokerilor de asigurare și/sau de reasigurare</w:t>
            </w:r>
          </w:p>
        </w:tc>
        <w:tc>
          <w:tcPr>
            <w:tcW w:w="4535" w:type="dxa"/>
          </w:tcPr>
          <w:p w14:paraId="0E5E16D1" w14:textId="77777777" w:rsidR="00351BCA" w:rsidRPr="00541064" w:rsidRDefault="00351BCA">
            <w:pPr>
              <w:rPr>
                <w:sz w:val="36"/>
                <w:szCs w:val="36"/>
                <w:lang w:val="it-IT"/>
              </w:rPr>
            </w:pPr>
          </w:p>
        </w:tc>
      </w:tr>
    </w:tbl>
    <w:p w14:paraId="2DC3F7C3" w14:textId="77777777" w:rsidR="00DD4379" w:rsidRPr="00541064" w:rsidRDefault="00DD4379" w:rsidP="00DD4379">
      <w:pPr>
        <w:rPr>
          <w:sz w:val="20"/>
          <w:szCs w:val="20"/>
          <w:lang w:val="it-IT"/>
        </w:rPr>
      </w:pPr>
    </w:p>
    <w:p w14:paraId="5204AC69" w14:textId="77777777" w:rsidR="00DD4379" w:rsidRDefault="00DD4379" w:rsidP="00DD4379">
      <w:pPr>
        <w:rPr>
          <w:sz w:val="20"/>
          <w:szCs w:val="20"/>
        </w:rPr>
      </w:pPr>
      <w:proofErr w:type="spellStart"/>
      <w:r>
        <w:rPr>
          <w:sz w:val="20"/>
          <w:szCs w:val="20"/>
        </w:rPr>
        <w:t>Ofertant</w:t>
      </w:r>
      <w:proofErr w:type="spellEnd"/>
      <w:r>
        <w:rPr>
          <w:sz w:val="20"/>
          <w:szCs w:val="20"/>
        </w:rPr>
        <w:t xml:space="preserve"> …………………………</w:t>
      </w:r>
      <w:proofErr w:type="gramStart"/>
      <w:r>
        <w:rPr>
          <w:sz w:val="20"/>
          <w:szCs w:val="20"/>
        </w:rPr>
        <w:t>…..</w:t>
      </w:r>
      <w:proofErr w:type="gramEnd"/>
    </w:p>
    <w:sectPr w:rsidR="00DD4379" w:rsidSect="00351BCA">
      <w:pgSz w:w="12240" w:h="15840"/>
      <w:pgMar w:top="284" w:right="720" w:bottom="14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81502"/>
    <w:multiLevelType w:val="hybridMultilevel"/>
    <w:tmpl w:val="443E51AA"/>
    <w:lvl w:ilvl="0" w:tplc="604255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262CF"/>
    <w:multiLevelType w:val="hybridMultilevel"/>
    <w:tmpl w:val="72F0F174"/>
    <w:lvl w:ilvl="0" w:tplc="09126B7E">
      <w:start w:val="2"/>
      <w:numFmt w:val="bullet"/>
      <w:lvlText w:val="–"/>
      <w:lvlJc w:val="left"/>
      <w:pPr>
        <w:tabs>
          <w:tab w:val="num" w:pos="720"/>
        </w:tabs>
        <w:ind w:left="720" w:hanging="360"/>
      </w:pPr>
      <w:rPr>
        <w:rFonts w:ascii="Arial Narrow" w:eastAsia="Times New Roman" w:hAnsi="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2D63CB"/>
    <w:multiLevelType w:val="hybridMultilevel"/>
    <w:tmpl w:val="BE6CCC98"/>
    <w:lvl w:ilvl="0" w:tplc="09126B7E">
      <w:start w:val="2"/>
      <w:numFmt w:val="bullet"/>
      <w:lvlText w:val="–"/>
      <w:lvlJc w:val="left"/>
      <w:pPr>
        <w:tabs>
          <w:tab w:val="num" w:pos="360"/>
        </w:tabs>
        <w:ind w:left="360" w:hanging="360"/>
      </w:pPr>
      <w:rPr>
        <w:rFonts w:ascii="Arial Narrow" w:eastAsia="Times New Roman" w:hAnsi="Arial Narrow"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EB0A5E"/>
    <w:multiLevelType w:val="hybridMultilevel"/>
    <w:tmpl w:val="0AA82070"/>
    <w:lvl w:ilvl="0" w:tplc="CC8A70A6">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8682521">
    <w:abstractNumId w:val="0"/>
  </w:num>
  <w:num w:numId="2" w16cid:durableId="1800873932">
    <w:abstractNumId w:val="2"/>
  </w:num>
  <w:num w:numId="3" w16cid:durableId="2120291553">
    <w:abstractNumId w:val="1"/>
  </w:num>
  <w:num w:numId="4" w16cid:durableId="1679111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AF"/>
    <w:rsid w:val="00052955"/>
    <w:rsid w:val="00134E54"/>
    <w:rsid w:val="001D327B"/>
    <w:rsid w:val="002404B9"/>
    <w:rsid w:val="002447CD"/>
    <w:rsid w:val="00267F97"/>
    <w:rsid w:val="00351BCA"/>
    <w:rsid w:val="0040638D"/>
    <w:rsid w:val="00541064"/>
    <w:rsid w:val="00631553"/>
    <w:rsid w:val="00864CD1"/>
    <w:rsid w:val="009D131F"/>
    <w:rsid w:val="00A1685D"/>
    <w:rsid w:val="00A47AFB"/>
    <w:rsid w:val="00B81CAF"/>
    <w:rsid w:val="00CF09F2"/>
    <w:rsid w:val="00DD4379"/>
    <w:rsid w:val="00E7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B3EB"/>
  <w15:chartTrackingRefBased/>
  <w15:docId w15:val="{1377AC45-59CA-4D26-AF92-68211EDE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2440</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Licente Sajvs</cp:lastModifiedBy>
  <cp:revision>3</cp:revision>
  <dcterms:created xsi:type="dcterms:W3CDTF">2024-09-24T10:38:00Z</dcterms:created>
  <dcterms:modified xsi:type="dcterms:W3CDTF">2026-04-16T05:00:00Z</dcterms:modified>
</cp:coreProperties>
</file>