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3D0B" w14:textId="5B4FE3DC" w:rsidR="00731397" w:rsidRPr="00E57D2D" w:rsidRDefault="00731397" w:rsidP="00E57D2D">
      <w:pPr>
        <w:pStyle w:val="NoSpacing"/>
        <w:rPr>
          <w:shd w:val="clear" w:color="auto" w:fill="D9D9D9" w:themeFill="background1" w:themeFillShade="D9"/>
          <w:lang w:val="ro-RO"/>
        </w:rPr>
      </w:pPr>
      <w:bookmarkStart w:id="0" w:name="_Toc468109252"/>
      <w:bookmarkStart w:id="1" w:name="_Toc469225600"/>
      <w:bookmarkStart w:id="2" w:name="_Toc475518428"/>
      <w:bookmarkStart w:id="3" w:name="_Toc475519921"/>
    </w:p>
    <w:p w14:paraId="22E56563" w14:textId="67A28184" w:rsidR="00731397" w:rsidRPr="00E57D2D" w:rsidRDefault="00731397" w:rsidP="00E57D2D">
      <w:pPr>
        <w:pStyle w:val="NoSpacing"/>
        <w:rPr>
          <w:shd w:val="clear" w:color="auto" w:fill="D9D9D9" w:themeFill="background1" w:themeFillShade="D9"/>
          <w:lang w:val="ro-RO"/>
        </w:rPr>
      </w:pPr>
    </w:p>
    <w:bookmarkEnd w:id="0"/>
    <w:bookmarkEnd w:id="1"/>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57843037" w:rsidR="00733031" w:rsidRPr="00E57D2D" w:rsidRDefault="0034634A">
      <w:pPr>
        <w:tabs>
          <w:tab w:val="left" w:pos="567"/>
        </w:tabs>
        <w:spacing w:after="0" w:line="240" w:lineRule="auto"/>
        <w:jc w:val="center"/>
        <w:rPr>
          <w:rFonts w:cs="Calibri"/>
        </w:rPr>
      </w:pPr>
      <w:r w:rsidRPr="006324FF">
        <w:rPr>
          <w:rFonts w:cs="Calibri"/>
          <w:i/>
          <w:iCs/>
          <w:sz w:val="24"/>
          <w:szCs w:val="24"/>
        </w:rPr>
        <w:t>P</w:t>
      </w:r>
      <w:r w:rsidR="000515DF" w:rsidRPr="006324FF">
        <w:rPr>
          <w:rFonts w:cs="Calibri"/>
          <w:i/>
          <w:iCs/>
          <w:sz w:val="24"/>
          <w:szCs w:val="24"/>
        </w:rPr>
        <w:t>rivind</w:t>
      </w:r>
      <w:r w:rsidRPr="006324FF">
        <w:rPr>
          <w:rFonts w:cs="Calibri"/>
          <w:sz w:val="24"/>
          <w:szCs w:val="24"/>
        </w:rPr>
        <w:t xml:space="preserve"> </w:t>
      </w:r>
      <w:r w:rsidRPr="006324FF">
        <w:rPr>
          <w:rFonts w:cs="Calibri"/>
          <w:i/>
          <w:iCs/>
          <w:sz w:val="24"/>
          <w:szCs w:val="24"/>
        </w:rPr>
        <w:t>achiziția</w:t>
      </w:r>
      <w:r w:rsidR="000515DF" w:rsidRPr="006324FF">
        <w:rPr>
          <w:rFonts w:cs="Calibri"/>
          <w:sz w:val="24"/>
          <w:szCs w:val="24"/>
        </w:rPr>
        <w:t xml:space="preserve"> </w:t>
      </w:r>
      <w:r w:rsidRPr="009B6365">
        <w:rPr>
          <w:rFonts w:ascii="Times New Roman" w:hAnsi="Times New Roman"/>
          <w:i/>
          <w:sz w:val="24"/>
        </w:rPr>
        <w:t>public</w:t>
      </w:r>
      <w:r>
        <w:rPr>
          <w:rFonts w:ascii="Times New Roman" w:hAnsi="Times New Roman"/>
          <w:i/>
          <w:sz w:val="24"/>
        </w:rPr>
        <w:t>ă</w:t>
      </w:r>
      <w:r w:rsidRPr="009B6365">
        <w:rPr>
          <w:rFonts w:ascii="Times New Roman" w:hAnsi="Times New Roman"/>
          <w:i/>
          <w:sz w:val="24"/>
        </w:rPr>
        <w:t xml:space="preserve"> </w:t>
      </w:r>
      <w:r w:rsidR="001778C9">
        <w:rPr>
          <w:rFonts w:ascii="Times New Roman" w:hAnsi="Times New Roman"/>
          <w:i/>
          <w:sz w:val="24"/>
        </w:rPr>
        <w:t>de Dotări Campus integrat</w:t>
      </w:r>
      <w:r w:rsidR="00F410B9">
        <w:rPr>
          <w:rFonts w:ascii="Times New Roman" w:hAnsi="Times New Roman"/>
          <w:i/>
          <w:sz w:val="24"/>
        </w:rPr>
        <w:t xml:space="preserve"> </w:t>
      </w:r>
      <w:r w:rsidRPr="004C10F3">
        <w:rPr>
          <w:rFonts w:ascii="Times New Roman" w:hAnsi="Times New Roman"/>
          <w:i/>
          <w:sz w:val="24"/>
        </w:rPr>
        <w:t xml:space="preserve">pentru </w:t>
      </w:r>
      <w:r w:rsidRPr="004C10F3">
        <w:rPr>
          <w:rFonts w:ascii="Times New Roman" w:hAnsi="Times New Roman" w:hint="eastAsia"/>
          <w:i/>
          <w:sz w:val="24"/>
        </w:rPr>
        <w:t>î</w:t>
      </w:r>
      <w:r w:rsidRPr="004C10F3">
        <w:rPr>
          <w:rFonts w:ascii="Times New Roman" w:hAnsi="Times New Roman"/>
          <w:i/>
          <w:sz w:val="24"/>
        </w:rPr>
        <w:t>nv</w:t>
      </w:r>
      <w:r w:rsidRPr="004C10F3">
        <w:rPr>
          <w:rFonts w:ascii="Times New Roman" w:hAnsi="Times New Roman" w:hint="eastAsia"/>
          <w:i/>
          <w:sz w:val="24"/>
        </w:rPr>
        <w:t>ă</w:t>
      </w:r>
      <w:r w:rsidRPr="004C10F3">
        <w:rPr>
          <w:rFonts w:ascii="Times New Roman" w:hAnsi="Times New Roman"/>
          <w:i/>
          <w:sz w:val="24"/>
        </w:rPr>
        <w:t>ț</w:t>
      </w:r>
      <w:r w:rsidRPr="004C10F3">
        <w:rPr>
          <w:rFonts w:ascii="Times New Roman" w:hAnsi="Times New Roman" w:hint="eastAsia"/>
          <w:i/>
          <w:sz w:val="24"/>
        </w:rPr>
        <w:t>ă</w:t>
      </w:r>
      <w:r w:rsidRPr="004C10F3">
        <w:rPr>
          <w:rFonts w:ascii="Times New Roman" w:hAnsi="Times New Roman"/>
          <w:i/>
          <w:sz w:val="24"/>
        </w:rPr>
        <w:t>m</w:t>
      </w:r>
      <w:r w:rsidRPr="004C10F3">
        <w:rPr>
          <w:rFonts w:ascii="Times New Roman" w:hAnsi="Times New Roman" w:hint="eastAsia"/>
          <w:i/>
          <w:sz w:val="24"/>
        </w:rPr>
        <w:t>â</w:t>
      </w:r>
      <w:r w:rsidRPr="004C10F3">
        <w:rPr>
          <w:rFonts w:ascii="Times New Roman" w:hAnsi="Times New Roman"/>
          <w:i/>
          <w:sz w:val="24"/>
        </w:rPr>
        <w:t xml:space="preserve">nt dual </w:t>
      </w:r>
      <w:r w:rsidRPr="004C10F3">
        <w:rPr>
          <w:rFonts w:ascii="Times New Roman" w:hAnsi="Times New Roman" w:hint="eastAsia"/>
          <w:i/>
          <w:sz w:val="24"/>
        </w:rPr>
        <w:t>–</w:t>
      </w:r>
      <w:r w:rsidRPr="004C10F3">
        <w:rPr>
          <w:rFonts w:ascii="Times New Roman" w:hAnsi="Times New Roman"/>
          <w:i/>
          <w:sz w:val="24"/>
        </w:rPr>
        <w:t xml:space="preserve"> PRODUAL</w:t>
      </w:r>
      <w:r w:rsidR="001778C9">
        <w:rPr>
          <w:rFonts w:ascii="Times New Roman" w:hAnsi="Times New Roman"/>
          <w:i/>
          <w:sz w:val="24"/>
        </w:rPr>
        <w:t xml:space="preserve"> – Cantină </w:t>
      </w:r>
    </w:p>
    <w:p w14:paraId="78C5F516" w14:textId="6471C89C" w:rsidR="00733031" w:rsidRPr="00E57D2D" w:rsidRDefault="000515DF">
      <w:pPr>
        <w:tabs>
          <w:tab w:val="left" w:pos="567"/>
        </w:tabs>
        <w:spacing w:after="0" w:line="240" w:lineRule="auto"/>
        <w:jc w:val="center"/>
        <w:rPr>
          <w:rFonts w:cs="Calibri"/>
        </w:rPr>
      </w:pPr>
      <w:r w:rsidRPr="00E57D2D">
        <w:rPr>
          <w:rFonts w:cs="Calibri"/>
        </w:rPr>
        <w:t>Nr.</w:t>
      </w:r>
      <w:r w:rsidR="000273F2">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din data</w:t>
      </w:r>
      <w:r w:rsidR="000273F2" w:rsidRPr="00A23F56">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6DBFC491" w14:textId="66EC54A3"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14:paraId="19680297" w14:textId="77777777" w:rsidR="00E34815" w:rsidRPr="00E57D2D" w:rsidRDefault="00E34815" w:rsidP="00E34815">
      <w:pPr>
        <w:tabs>
          <w:tab w:val="left" w:pos="567"/>
        </w:tabs>
        <w:spacing w:after="0" w:line="240" w:lineRule="auto"/>
        <w:rPr>
          <w:rFonts w:cs="Calibri"/>
        </w:rPr>
      </w:pPr>
      <w:r w:rsidRPr="00E57D2D">
        <w:rPr>
          <w:rFonts w:cs="Calibri"/>
        </w:rPr>
        <w:t>între:</w:t>
      </w:r>
    </w:p>
    <w:p w14:paraId="75702537" w14:textId="77777777" w:rsidR="00CC214B" w:rsidRPr="00E57D2D" w:rsidRDefault="00CC214B" w:rsidP="00CC214B">
      <w:pPr>
        <w:pStyle w:val="DefaultText"/>
        <w:jc w:val="both"/>
        <w:rPr>
          <w:rFonts w:ascii="Calibri" w:hAnsi="Calibri" w:cs="Calibri"/>
          <w:sz w:val="22"/>
          <w:szCs w:val="22"/>
          <w:lang w:val="ro-RO"/>
        </w:rPr>
      </w:pPr>
      <w:r w:rsidRPr="00893CF7">
        <w:rPr>
          <w:rFonts w:ascii="Calibri" w:eastAsia="Arial Unicode MS" w:hAnsi="Calibri" w:cs="Calibri"/>
          <w:b/>
          <w:bCs/>
          <w:i/>
          <w:sz w:val="22"/>
          <w:szCs w:val="22"/>
          <w:shd w:val="clear" w:color="auto" w:fill="D9D9D9" w:themeFill="background1" w:themeFillShade="D9"/>
          <w:lang w:val="ro-RO"/>
        </w:rPr>
        <w:t>UNIVERSITATEA „LUCIAN BLAGA” din Sibiu</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C27710">
        <w:rPr>
          <w:rFonts w:ascii="Calibri" w:eastAsia="Arial Unicode MS" w:hAnsi="Calibri" w:cs="Calibri"/>
          <w:i/>
          <w:sz w:val="22"/>
          <w:szCs w:val="22"/>
          <w:shd w:val="clear" w:color="auto" w:fill="D9D9D9" w:themeFill="background1" w:themeFillShade="D9"/>
          <w:lang w:val="ro-RO"/>
        </w:rPr>
        <w:t>Sibiu, B-dul Victoriei nr. 10</w:t>
      </w:r>
      <w:r w:rsidRPr="00E57D2D">
        <w:rPr>
          <w:rFonts w:ascii="Calibri" w:eastAsia="Arial Unicode MS" w:hAnsi="Calibri" w:cs="Calibri"/>
          <w:sz w:val="22"/>
          <w:szCs w:val="22"/>
          <w:lang w:val="ro-RO"/>
        </w:rPr>
        <w:t xml:space="preserve">, telefon: </w:t>
      </w:r>
      <w:r w:rsidRPr="00663ADC">
        <w:rPr>
          <w:rFonts w:ascii="Calibri" w:eastAsia="Arial Unicode MS" w:hAnsi="Calibri" w:cs="Calibri"/>
          <w:i/>
          <w:sz w:val="22"/>
          <w:szCs w:val="22"/>
          <w:shd w:val="clear" w:color="auto" w:fill="D9D9D9" w:themeFill="background1" w:themeFillShade="D9"/>
          <w:lang w:val="ro-RO"/>
        </w:rPr>
        <w:t>(269) 21.81.65</w:t>
      </w:r>
      <w:r w:rsidRPr="00E57D2D">
        <w:rPr>
          <w:rFonts w:ascii="Calibri" w:eastAsia="Arial Unicode MS" w:hAnsi="Calibri" w:cs="Calibri"/>
          <w:sz w:val="22"/>
          <w:szCs w:val="22"/>
          <w:lang w:val="ro-RO"/>
        </w:rPr>
        <w:t>, e-mail</w:t>
      </w:r>
      <w:r w:rsidRPr="008D7D2F">
        <w:rPr>
          <w:rFonts w:asciiTheme="minorHAnsi" w:eastAsia="Arial Unicode MS" w:hAnsiTheme="minorHAnsi" w:cstheme="minorHAnsi"/>
          <w:sz w:val="22"/>
          <w:szCs w:val="22"/>
          <w:lang w:val="ro-RO"/>
        </w:rPr>
        <w:t xml:space="preserve">: </w:t>
      </w:r>
      <w:hyperlink r:id="rId8" w:history="1"/>
      <w:r w:rsidRPr="008D7D2F">
        <w:rPr>
          <w:rFonts w:ascii="Calibri" w:hAnsi="Calibri" w:cs="Calibri"/>
          <w:sz w:val="22"/>
          <w:szCs w:val="18"/>
          <w:lang w:val="ro-RO"/>
        </w:rPr>
        <w:t>rectorat@ulbsibiu.ro</w:t>
      </w:r>
      <w:r w:rsidRPr="008D7D2F">
        <w:rPr>
          <w:rFonts w:asciiTheme="minorHAnsi" w:hAnsiTheme="minorHAnsi" w:cstheme="minorHAnsi"/>
          <w:sz w:val="22"/>
          <w:szCs w:val="18"/>
          <w:lang w:val="ro-RO"/>
        </w:rPr>
        <w:t xml:space="preserve"> </w:t>
      </w:r>
      <w:r w:rsidRPr="008D7D2F">
        <w:rPr>
          <w:rFonts w:asciiTheme="minorHAnsi" w:eastAsia="Arial Unicode MS" w:hAnsiTheme="minorHAnsi" w:cstheme="minorHAnsi"/>
          <w:sz w:val="22"/>
          <w:szCs w:val="22"/>
          <w:lang w:val="ro-RO"/>
        </w:rPr>
        <w:t>,</w:t>
      </w:r>
      <w:r w:rsidRPr="00E57D2D">
        <w:rPr>
          <w:rFonts w:ascii="Calibri" w:eastAsia="Arial Unicode MS" w:hAnsi="Calibri" w:cs="Calibri"/>
          <w:sz w:val="22"/>
          <w:szCs w:val="22"/>
          <w:lang w:val="ro-RO"/>
        </w:rPr>
        <w:t xml:space="preserve"> cod de înregistrare fiscală </w:t>
      </w:r>
      <w:r>
        <w:rPr>
          <w:rFonts w:ascii="Calibri" w:eastAsia="Arial Unicode MS" w:hAnsi="Calibri" w:cs="Calibri"/>
          <w:i/>
          <w:sz w:val="22"/>
          <w:szCs w:val="22"/>
          <w:shd w:val="clear" w:color="auto" w:fill="D9D9D9" w:themeFill="background1" w:themeFillShade="D9"/>
          <w:lang w:val="ro-RO"/>
        </w:rPr>
        <w:t>4480173</w:t>
      </w:r>
      <w:r w:rsidRPr="00E57D2D">
        <w:rPr>
          <w:rFonts w:ascii="Calibri" w:eastAsia="Arial Unicode MS" w:hAnsi="Calibri" w:cs="Calibri"/>
          <w:sz w:val="22"/>
          <w:szCs w:val="22"/>
          <w:lang w:val="ro-RO"/>
        </w:rPr>
        <w:t xml:space="preserve">, cont IBAN nr. </w:t>
      </w:r>
      <w:r w:rsidRPr="00351BE7">
        <w:rPr>
          <w:rFonts w:ascii="Calibri" w:eastAsia="Arial Unicode MS" w:hAnsi="Calibri" w:cs="Calibri"/>
          <w:i/>
          <w:sz w:val="22"/>
          <w:szCs w:val="22"/>
          <w:shd w:val="clear" w:color="auto" w:fill="D9D9D9" w:themeFill="background1" w:themeFillShade="D9"/>
          <w:lang w:val="ro-RO"/>
        </w:rPr>
        <w:t>RO83TREZ23F650601200101X</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b/>
          <w:i/>
          <w:sz w:val="22"/>
          <w:szCs w:val="22"/>
          <w:shd w:val="clear" w:color="auto" w:fill="D9D9D9" w:themeFill="background1" w:themeFillShade="D9"/>
          <w:lang w:val="ro-RO"/>
        </w:rPr>
        <w:t>Trezoreria</w:t>
      </w:r>
      <w:r>
        <w:rPr>
          <w:rFonts w:ascii="Calibri" w:eastAsia="Arial Unicode MS" w:hAnsi="Calibri" w:cs="Calibri"/>
          <w:b/>
          <w:i/>
          <w:sz w:val="22"/>
          <w:szCs w:val="22"/>
          <w:shd w:val="clear" w:color="auto" w:fill="D9D9D9" w:themeFill="background1" w:themeFillShade="D9"/>
          <w:lang w:val="ro-RO"/>
        </w:rPr>
        <w:t xml:space="preserve"> Municipiului Sibiu</w:t>
      </w:r>
      <w:r w:rsidRPr="00E57D2D">
        <w:rPr>
          <w:rFonts w:ascii="Calibri" w:eastAsia="Arial Unicode MS" w:hAnsi="Calibri" w:cs="Calibri"/>
          <w:sz w:val="22"/>
          <w:szCs w:val="22"/>
          <w:lang w:val="ro-RO"/>
        </w:rPr>
        <w:t xml:space="preserve"> reprezentată prin </w:t>
      </w:r>
      <w:r>
        <w:rPr>
          <w:rFonts w:ascii="Calibri" w:hAnsi="Calibri" w:cs="Calibri"/>
          <w:sz w:val="22"/>
          <w:szCs w:val="22"/>
          <w:lang w:val="ro-RO"/>
        </w:rPr>
        <w:t>Rector</w:t>
      </w:r>
      <w:r w:rsidRPr="00351BE7">
        <w:rPr>
          <w:rFonts w:ascii="Calibri" w:eastAsia="Arial Unicode MS" w:hAnsi="Calibri" w:cs="Calibri"/>
          <w:i/>
          <w:sz w:val="22"/>
          <w:szCs w:val="22"/>
          <w:shd w:val="clear" w:color="auto" w:fill="D9D9D9" w:themeFill="background1" w:themeFillShade="D9"/>
          <w:lang w:val="ro-RO"/>
        </w:rPr>
        <w:t xml:space="preserve"> prof. univ. dr. habil Sorin RADU</w:t>
      </w:r>
      <w:r>
        <w:rPr>
          <w:rFonts w:ascii="Calibri" w:eastAsia="Arial Unicode MS" w:hAnsi="Calibri" w:cs="Calibri"/>
          <w:i/>
          <w:sz w:val="22"/>
          <w:szCs w:val="22"/>
          <w:shd w:val="clear" w:color="auto" w:fill="D9D9D9" w:themeFill="background1" w:themeFillShade="D9"/>
          <w:lang w:val="ro-RO"/>
        </w:rPr>
        <w:t xml:space="preserve"> </w:t>
      </w:r>
      <w:r w:rsidRPr="00D2604D">
        <w:rPr>
          <w:rFonts w:ascii="Calibri" w:eastAsia="Arial Unicode MS" w:hAnsi="Calibri" w:cs="Calibri"/>
          <w:i/>
          <w:sz w:val="22"/>
          <w:szCs w:val="22"/>
          <w:shd w:val="clear" w:color="auto" w:fill="D9D9D9" w:themeFill="background1" w:themeFillShade="D9"/>
          <w:lang w:val="ro-RO"/>
        </w:rPr>
        <w:t>și director financiar-contabil, ec. Cristina Puia</w:t>
      </w:r>
      <w:r w:rsidRPr="00E57D2D">
        <w:rPr>
          <w:rFonts w:ascii="Calibri" w:eastAsia="Arial Unicode MS" w:hAnsi="Calibri" w:cs="Calibri"/>
          <w:i/>
          <w:sz w:val="22"/>
          <w:szCs w:val="22"/>
          <w:lang w:val="ro-RO"/>
        </w:rPr>
        <w:t>,</w:t>
      </w:r>
      <w:r>
        <w:rPr>
          <w:rFonts w:ascii="Calibri" w:eastAsia="Arial Unicode MS" w:hAnsi="Calibri" w:cs="Calibri"/>
          <w:i/>
          <w:sz w:val="22"/>
          <w:szCs w:val="22"/>
          <w:lang w:val="ro-RO"/>
        </w:rPr>
        <w:t xml:space="preserve"> </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în calitate de și denumită în continuare „</w:t>
      </w:r>
      <w:r w:rsidRPr="00E57D2D">
        <w:rPr>
          <w:rFonts w:ascii="Calibri" w:hAnsi="Calibri" w:cs="Calibri"/>
          <w:b/>
          <w:i/>
          <w:sz w:val="22"/>
          <w:szCs w:val="22"/>
          <w:lang w:val="ro-RO"/>
        </w:rPr>
        <w:t>Achizitor</w:t>
      </w:r>
      <w:r w:rsidRPr="00E57D2D">
        <w:rPr>
          <w:rFonts w:ascii="Calibri" w:hAnsi="Calibri" w:cs="Calibri"/>
          <w:b/>
          <w:sz w:val="22"/>
          <w:szCs w:val="22"/>
          <w:lang w:val="ro-RO"/>
        </w:rPr>
        <w:t>”</w:t>
      </w:r>
      <w:r w:rsidRPr="00E57D2D">
        <w:rPr>
          <w:rFonts w:ascii="Calibri" w:hAnsi="Calibri" w:cs="Calibri"/>
          <w:sz w:val="22"/>
          <w:szCs w:val="22"/>
          <w:lang w:val="ro-RO"/>
        </w:rPr>
        <w:t>, pe de o parte</w:t>
      </w:r>
    </w:p>
    <w:p w14:paraId="40C462D7" w14:textId="77777777"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r w:rsidR="008D799A">
        <w:fldChar w:fldCharType="begin"/>
      </w:r>
      <w:r w:rsidR="008D799A">
        <w:instrText xml:space="preserve"> HYPERLINK "mailto:cabinet@transgaz.ro" </w:instrText>
      </w:r>
      <w:r w:rsidR="008D799A">
        <w:fldChar w:fldCharType="separate"/>
      </w:r>
      <w:r w:rsidR="008D799A">
        <w:fldChar w:fldCharType="end"/>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aşa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preţul contractului - preţul plătibil furnizorului de către achizitor, în baza contractului, pentru îndeplinirea integrală şi corespunzătoare a tuturor obligaţiilor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produse - echipamentele, maşinile,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destinaţie finală - locul unde furnizorul are obligaţia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termenii comerciali de livrare vor fi interpretaţi conform INCOTERMS 2000 - Camera Internaţională de Comerţ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w:t>
      </w:r>
      <w:r w:rsidRPr="00E57D2D">
        <w:rPr>
          <w:rFonts w:cs="Calibri"/>
        </w:rPr>
        <w:lastRenderedPageBreak/>
        <w:t>forţă majoră un eveniment asemenea celor de mai sus care, fără a crea o imposibilitate de executare, face extrem de costisitoare executarea obligaţiilor uneia dintre părţi;</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2006B392" w14:textId="61ADA44D" w:rsidR="00733031" w:rsidRPr="00E57D2D" w:rsidRDefault="000515DF" w:rsidP="002F2832">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1A096D">
        <w:rPr>
          <w:rFonts w:cs="Calibri"/>
          <w:b/>
          <w:i/>
          <w:shd w:val="clear" w:color="auto" w:fill="FFFFFF" w:themeFill="background1"/>
        </w:rPr>
        <w:t xml:space="preserve"> -</w:t>
      </w:r>
      <w:r w:rsidR="00253D2D" w:rsidRPr="00E57D2D">
        <w:rPr>
          <w:rFonts w:cs="Calibri"/>
          <w:b/>
          <w:i/>
          <w:shd w:val="clear" w:color="auto" w:fill="FFFFFF" w:themeFill="background1"/>
        </w:rPr>
        <w:t xml:space="preserve"> </w:t>
      </w:r>
      <w:r w:rsidR="001778C9">
        <w:rPr>
          <w:rFonts w:ascii="Times New Roman" w:hAnsi="Times New Roman"/>
          <w:i/>
          <w:sz w:val="24"/>
        </w:rPr>
        <w:t xml:space="preserve">Dotări Campus integrat </w:t>
      </w:r>
      <w:r w:rsidR="001778C9" w:rsidRPr="004C10F3">
        <w:rPr>
          <w:rFonts w:ascii="Times New Roman" w:hAnsi="Times New Roman"/>
          <w:i/>
          <w:sz w:val="24"/>
        </w:rPr>
        <w:t xml:space="preserve">pentru </w:t>
      </w:r>
      <w:r w:rsidR="001778C9" w:rsidRPr="004C10F3">
        <w:rPr>
          <w:rFonts w:ascii="Times New Roman" w:hAnsi="Times New Roman" w:hint="eastAsia"/>
          <w:i/>
          <w:sz w:val="24"/>
        </w:rPr>
        <w:t>î</w:t>
      </w:r>
      <w:r w:rsidR="001778C9" w:rsidRPr="004C10F3">
        <w:rPr>
          <w:rFonts w:ascii="Times New Roman" w:hAnsi="Times New Roman"/>
          <w:i/>
          <w:sz w:val="24"/>
        </w:rPr>
        <w:t>nv</w:t>
      </w:r>
      <w:r w:rsidR="001778C9" w:rsidRPr="004C10F3">
        <w:rPr>
          <w:rFonts w:ascii="Times New Roman" w:hAnsi="Times New Roman" w:hint="eastAsia"/>
          <w:i/>
          <w:sz w:val="24"/>
        </w:rPr>
        <w:t>ă</w:t>
      </w:r>
      <w:r w:rsidR="001778C9" w:rsidRPr="004C10F3">
        <w:rPr>
          <w:rFonts w:ascii="Times New Roman" w:hAnsi="Times New Roman"/>
          <w:i/>
          <w:sz w:val="24"/>
        </w:rPr>
        <w:t>ț</w:t>
      </w:r>
      <w:r w:rsidR="001778C9" w:rsidRPr="004C10F3">
        <w:rPr>
          <w:rFonts w:ascii="Times New Roman" w:hAnsi="Times New Roman" w:hint="eastAsia"/>
          <w:i/>
          <w:sz w:val="24"/>
        </w:rPr>
        <w:t>ă</w:t>
      </w:r>
      <w:r w:rsidR="001778C9" w:rsidRPr="004C10F3">
        <w:rPr>
          <w:rFonts w:ascii="Times New Roman" w:hAnsi="Times New Roman"/>
          <w:i/>
          <w:sz w:val="24"/>
        </w:rPr>
        <w:t>m</w:t>
      </w:r>
      <w:r w:rsidR="001778C9" w:rsidRPr="004C10F3">
        <w:rPr>
          <w:rFonts w:ascii="Times New Roman" w:hAnsi="Times New Roman" w:hint="eastAsia"/>
          <w:i/>
          <w:sz w:val="24"/>
        </w:rPr>
        <w:t>â</w:t>
      </w:r>
      <w:r w:rsidR="001778C9" w:rsidRPr="004C10F3">
        <w:rPr>
          <w:rFonts w:ascii="Times New Roman" w:hAnsi="Times New Roman"/>
          <w:i/>
          <w:sz w:val="24"/>
        </w:rPr>
        <w:t xml:space="preserve">nt dual </w:t>
      </w:r>
      <w:r w:rsidR="001778C9" w:rsidRPr="004C10F3">
        <w:rPr>
          <w:rFonts w:ascii="Times New Roman" w:hAnsi="Times New Roman" w:hint="eastAsia"/>
          <w:i/>
          <w:sz w:val="24"/>
        </w:rPr>
        <w:t>–</w:t>
      </w:r>
      <w:r w:rsidR="001778C9" w:rsidRPr="004C10F3">
        <w:rPr>
          <w:rFonts w:ascii="Times New Roman" w:hAnsi="Times New Roman"/>
          <w:i/>
          <w:sz w:val="24"/>
        </w:rPr>
        <w:t xml:space="preserve"> PRODUAL</w:t>
      </w:r>
      <w:r w:rsidR="001778C9">
        <w:rPr>
          <w:rFonts w:ascii="Times New Roman" w:hAnsi="Times New Roman"/>
          <w:i/>
          <w:sz w:val="24"/>
        </w:rPr>
        <w:t xml:space="preserve"> – </w:t>
      </w:r>
      <w:r w:rsidR="0070029C">
        <w:rPr>
          <w:rFonts w:ascii="Times New Roman" w:hAnsi="Times New Roman"/>
          <w:i/>
          <w:sz w:val="24"/>
        </w:rPr>
        <w:t>Aparate electrocasnice și Echipamente tehnice</w:t>
      </w:r>
      <w:r w:rsidR="001778C9">
        <w:rPr>
          <w:rFonts w:ascii="Times New Roman" w:hAnsi="Times New Roman"/>
          <w:i/>
          <w:sz w:val="24"/>
        </w:rPr>
        <w:t xml:space="preserve"> </w:t>
      </w:r>
      <w:r w:rsidR="00D1697F" w:rsidRPr="00AC07E2">
        <w:rPr>
          <w:rFonts w:ascii="Times New Roman" w:hAnsi="Times New Roman"/>
          <w:i/>
          <w:szCs w:val="20"/>
        </w:rPr>
        <w:t xml:space="preserve">precum și prestarea </w:t>
      </w:r>
      <w:r w:rsidR="00AC07E2" w:rsidRPr="00AC07E2">
        <w:rPr>
          <w:rFonts w:cs="Calibri"/>
          <w:i/>
          <w:shd w:val="clear" w:color="auto" w:fill="D9D9D9" w:themeFill="background1" w:themeFillShade="D9"/>
        </w:rPr>
        <w:t>serviciil</w:t>
      </w:r>
      <w:r w:rsidR="00AC07E2">
        <w:rPr>
          <w:rFonts w:cs="Calibri"/>
          <w:i/>
          <w:shd w:val="clear" w:color="auto" w:fill="D9D9D9" w:themeFill="background1" w:themeFillShade="D9"/>
        </w:rPr>
        <w:t>or</w:t>
      </w:r>
      <w:r w:rsidR="00AC07E2" w:rsidRPr="00AC07E2">
        <w:rPr>
          <w:rFonts w:cs="Calibri"/>
          <w:i/>
          <w:shd w:val="clear" w:color="auto" w:fill="D9D9D9" w:themeFill="background1" w:themeFillShade="D9"/>
        </w:rPr>
        <w:t xml:space="preserve"> adiționale legate de livrarea, punerea in funcțiune si instruirea personalului pentru folosirea corespunzătoare a echipamentelor  livrate,</w:t>
      </w:r>
      <w:r w:rsidR="00761F1F">
        <w:rPr>
          <w:rFonts w:cs="Calibri"/>
          <w:i/>
          <w:shd w:val="clear" w:color="auto" w:fill="D9D9D9" w:themeFill="background1" w:themeFillShade="D9"/>
        </w:rPr>
        <w:t xml:space="preserve"> respectiv operațiunile cu titlu accesoriu livrării produselor,</w:t>
      </w:r>
      <w:r w:rsidR="009465CD" w:rsidRPr="00AC07E2">
        <w:rPr>
          <w:rFonts w:cs="Calibri"/>
          <w:i/>
          <w:shd w:val="clear" w:color="auto" w:fill="D9D9D9" w:themeFill="background1" w:themeFillShade="D9"/>
        </w:rPr>
        <w:t xml:space="preserve"> în deplină conformitate cu prevederile Caietului de sarcini al achiziției</w:t>
      </w:r>
      <w:r w:rsidR="003A770E" w:rsidRPr="00AC07E2">
        <w:rPr>
          <w:rFonts w:cs="Calibri"/>
          <w:shd w:val="clear" w:color="auto" w:fill="FFFFFF" w:themeFill="background1"/>
        </w:rPr>
        <w:t>,</w:t>
      </w:r>
      <w:r w:rsidR="002509D9" w:rsidRPr="00E57D2D">
        <w:rPr>
          <w:rFonts w:cs="Calibri"/>
          <w:i/>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Anunțul publicitar</w:t>
      </w:r>
      <w:r w:rsidR="0057424B">
        <w:rPr>
          <w:rFonts w:cs="Calibri"/>
          <w:i/>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00235978">
        <w:rPr>
          <w:rFonts w:cs="Calibri"/>
          <w:i/>
        </w:rPr>
        <w:t xml:space="preserve">, în cadrul </w:t>
      </w:r>
      <w:r w:rsidR="002563C4" w:rsidRPr="002563C4">
        <w:rPr>
          <w:rFonts w:cs="Calibri"/>
          <w:i/>
        </w:rPr>
        <w:t>apelului Programul-pilot pentru dezvoltarea consorțiilor integrate pentru învățământ dual din Componenta C15: Educație a PNRR, Reforma 4: Crearea unei rute profesionale complete pentru învățământul tehnic superior, Investiția 6: Dezvoltarea a minimum 10 consorții regionale și dezvoltarea și dotarea a minimum 10 campusuri profesionale integrate, apel: PNRR/2022/C15/MEDU/I6/ Program-pilot pentru dezvoltarea consorțiilor regionale pentru învățământ dual</w:t>
      </w:r>
      <w:r w:rsidR="00F908EE">
        <w:rPr>
          <w:rFonts w:cs="Calibri"/>
          <w:i/>
        </w:rPr>
        <w:t xml:space="preserve"> -</w:t>
      </w:r>
      <w:r w:rsidR="00C16C8B">
        <w:rPr>
          <w:rFonts w:cs="Calibri"/>
          <w:i/>
        </w:rPr>
        <w:t xml:space="preserve"> LOT___</w:t>
      </w:r>
      <w:r w:rsidR="00CA0E82">
        <w:rPr>
          <w:rFonts w:cs="Calibri"/>
          <w:i/>
        </w:rPr>
        <w:t>, CPV ___________</w:t>
      </w:r>
      <w:r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1FE62877"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w:t>
      </w:r>
      <w:r w:rsidR="00D1114F">
        <w:rPr>
          <w:rFonts w:cs="Calibri"/>
        </w:rPr>
        <w:t>acestuia</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i/>
          <w:shd w:val="clear" w:color="auto" w:fill="D3D3D3"/>
        </w:rPr>
        <w:t xml:space="preserv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57760E">
        <w:rPr>
          <w:rFonts w:cs="Calibri"/>
        </w:rPr>
        <w:t xml:space="preserve"> </w:t>
      </w:r>
      <w:r w:rsidR="00401A14">
        <w:rPr>
          <w:rFonts w:cs="Calibri"/>
          <w:i/>
          <w:iCs/>
        </w:rPr>
        <w:t>aplicabile</w:t>
      </w:r>
      <w:r w:rsidR="00ED510D">
        <w:rPr>
          <w:rFonts w:cs="Calibri"/>
          <w:i/>
          <w:iCs/>
        </w:rPr>
        <w:t>.</w:t>
      </w:r>
    </w:p>
    <w:p w14:paraId="3E2E7BD2" w14:textId="39BB8577"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14:paraId="051FFB8D" w14:textId="11F4BC00"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14:paraId="5B6DC557" w14:textId="5536D943" w:rsidR="00754A94" w:rsidRDefault="00731397" w:rsidP="00BE2969">
      <w:pPr>
        <w:pStyle w:val="DefaultText2"/>
        <w:ind w:left="720"/>
        <w:jc w:val="both"/>
        <w:rPr>
          <w:rFonts w:ascii="Calibri" w:eastAsia="Arial Unicode MS"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00B671B1" w:rsidRPr="00FB1A84">
        <w:rPr>
          <w:rFonts w:ascii="Calibri" w:hAnsi="Calibri" w:cs="Calibri"/>
          <w:b/>
          <w:bCs/>
          <w:sz w:val="22"/>
          <w:szCs w:val="22"/>
          <w:lang w:val="ro-RO"/>
        </w:rPr>
        <w:t>4</w:t>
      </w:r>
      <w:r w:rsidR="001778C9">
        <w:rPr>
          <w:rFonts w:ascii="Calibri" w:hAnsi="Calibri" w:cs="Calibri"/>
          <w:b/>
          <w:bCs/>
          <w:sz w:val="22"/>
          <w:szCs w:val="22"/>
          <w:lang w:val="ro-RO"/>
        </w:rPr>
        <w:t>5</w:t>
      </w:r>
      <w:r w:rsidR="00C57311" w:rsidRPr="00FB1A84">
        <w:rPr>
          <w:rFonts w:ascii="Calibri" w:hAnsi="Calibri" w:cs="Calibri"/>
          <w:b/>
          <w:bCs/>
          <w:sz w:val="22"/>
          <w:szCs w:val="22"/>
          <w:lang w:val="ro-RO"/>
        </w:rPr>
        <w:t xml:space="preserve"> </w:t>
      </w:r>
      <w:r w:rsidR="001778C9">
        <w:rPr>
          <w:rFonts w:ascii="Calibri" w:hAnsi="Calibri" w:cs="Calibri"/>
          <w:b/>
          <w:bCs/>
          <w:sz w:val="22"/>
          <w:szCs w:val="22"/>
          <w:lang w:val="ro-RO"/>
        </w:rPr>
        <w:t>zile dar nu mai târziu de 31 iulie 2026</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eastAsia="Arial Unicode MS" w:hAnsi="Calibri" w:cs="Calibri"/>
          <w:sz w:val="22"/>
          <w:szCs w:val="22"/>
          <w:lang w:val="ro-RO"/>
        </w:rPr>
        <w:t>.</w:t>
      </w: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5507DF7B"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w:t>
      </w:r>
      <w:r w:rsidR="00677BD0">
        <w:rPr>
          <w:rFonts w:asciiTheme="minorHAnsi" w:hAnsiTheme="minorHAnsi" w:cstheme="minorHAnsi"/>
          <w:color w:val="auto"/>
          <w:sz w:val="22"/>
          <w:szCs w:val="22"/>
        </w:rPr>
        <w:t>– documentația de atribuire</w:t>
      </w:r>
      <w:r w:rsidRPr="00E57D2D">
        <w:rPr>
          <w:rFonts w:asciiTheme="minorHAnsi" w:hAnsiTheme="minorHAnsi" w:cstheme="minorHAnsi"/>
          <w:i/>
          <w:color w:val="auto"/>
          <w:sz w:val="22"/>
          <w:szCs w:val="22"/>
        </w:rPr>
        <w:t xml:space="preserve">, </w:t>
      </w:r>
    </w:p>
    <w:p w14:paraId="14D11722" w14:textId="7E358D39"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w:t>
      </w:r>
      <w:r w:rsidR="00677BD0">
        <w:rPr>
          <w:rFonts w:ascii="Calibri" w:hAnsi="Calibri" w:cs="Calibri"/>
          <w:i/>
          <w:color w:val="auto"/>
          <w:sz w:val="22"/>
          <w:szCs w:val="22"/>
        </w:rPr>
        <w:t>–</w:t>
      </w:r>
      <w:r w:rsidRPr="00E57D2D">
        <w:rPr>
          <w:rFonts w:ascii="Calibri" w:hAnsi="Calibri" w:cs="Calibri"/>
          <w:i/>
          <w:color w:val="auto"/>
          <w:sz w:val="22"/>
          <w:szCs w:val="22"/>
        </w:rPr>
        <w:t xml:space="preserve"> </w:t>
      </w:r>
      <w:r w:rsidR="00677BD0">
        <w:rPr>
          <w:rFonts w:ascii="Calibri" w:hAnsi="Calibri" w:cs="Calibri"/>
          <w:i/>
          <w:color w:val="auto"/>
          <w:sz w:val="22"/>
          <w:szCs w:val="22"/>
        </w:rPr>
        <w:t>propunerea tehnică si financiară</w:t>
      </w:r>
      <w:r w:rsidR="005D5299">
        <w:rPr>
          <w:rFonts w:ascii="Calibri" w:hAnsi="Calibri" w:cs="Calibri"/>
          <w:i/>
          <w:color w:val="auto"/>
          <w:sz w:val="22"/>
          <w:szCs w:val="22"/>
        </w:rPr>
        <w:t>.</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782F1442"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furnizorului</w:t>
      </w:r>
    </w:p>
    <w:p w14:paraId="3BE65ACE" w14:textId="4C7EF348"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furnizeze produsele la standardele şi performanţele prezentate în oferta sa</w:t>
      </w:r>
      <w:r w:rsidR="00E22AA9">
        <w:rPr>
          <w:rFonts w:asciiTheme="minorHAnsi" w:hAnsiTheme="minorHAnsi" w:cstheme="minorHAnsi"/>
        </w:rPr>
        <w:t xml:space="preserve">, </w:t>
      </w:r>
      <w:r w:rsidR="00E22AA9" w:rsidRPr="00E22AA9">
        <w:rPr>
          <w:rFonts w:asciiTheme="minorHAnsi" w:hAnsiTheme="minorHAnsi" w:cstheme="minorHAnsi"/>
        </w:rPr>
        <w:t>în urma comenzii primite de la beneficiar</w:t>
      </w:r>
      <w:r w:rsidR="000A2558">
        <w:rPr>
          <w:rFonts w:asciiTheme="minorHAnsi" w:hAnsiTheme="minorHAnsi" w:cstheme="minorHAnsi"/>
        </w:rPr>
        <w:t xml:space="preserve">, precum și să presteze toate operațiunile cu titlu accesoriu livrării, </w:t>
      </w:r>
      <w:r w:rsidR="00326C41">
        <w:rPr>
          <w:rFonts w:asciiTheme="minorHAnsi" w:hAnsiTheme="minorHAnsi" w:cstheme="minorHAnsi"/>
        </w:rPr>
        <w:t>cu deplina respectare a</w:t>
      </w:r>
      <w:r w:rsidR="000A2558">
        <w:rPr>
          <w:rFonts w:asciiTheme="minorHAnsi" w:hAnsiTheme="minorHAnsi" w:cstheme="minorHAnsi"/>
        </w:rPr>
        <w:t xml:space="preserve"> Caietul</w:t>
      </w:r>
      <w:r w:rsidR="00F57444">
        <w:rPr>
          <w:rFonts w:asciiTheme="minorHAnsi" w:hAnsiTheme="minorHAnsi" w:cstheme="minorHAnsi"/>
        </w:rPr>
        <w:t>ui</w:t>
      </w:r>
      <w:r w:rsidR="000A2558">
        <w:rPr>
          <w:rFonts w:asciiTheme="minorHAnsi" w:hAnsiTheme="minorHAnsi" w:cstheme="minorHAnsi"/>
        </w:rPr>
        <w:t xml:space="preserve"> de sarcini al achiziției</w:t>
      </w:r>
      <w:r w:rsidR="006D160E">
        <w:rPr>
          <w:rFonts w:asciiTheme="minorHAnsi" w:hAnsiTheme="minorHAnsi" w:cstheme="minorHAnsi"/>
        </w:rPr>
        <w:t>.</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5A5ED96F" w:rsidR="004B31C6" w:rsidRPr="00A42E56" w:rsidRDefault="004B31C6" w:rsidP="00A42E56">
      <w:pPr>
        <w:pStyle w:val="ListParagraph"/>
        <w:numPr>
          <w:ilvl w:val="0"/>
          <w:numId w:val="19"/>
        </w:numPr>
        <w:tabs>
          <w:tab w:val="left" w:pos="1080"/>
        </w:tabs>
        <w:autoSpaceDE w:val="0"/>
        <w:adjustRightInd w:val="0"/>
        <w:spacing w:after="0" w:line="240" w:lineRule="auto"/>
        <w:jc w:val="both"/>
        <w:rPr>
          <w:rFonts w:asciiTheme="minorHAnsi" w:hAnsiTheme="minorHAnsi" w:cstheme="minorHAnsi"/>
        </w:rPr>
      </w:pPr>
      <w:r w:rsidRPr="00A42E56">
        <w:rPr>
          <w:rFonts w:asciiTheme="minorHAnsi" w:hAnsiTheme="minorHAnsi" w:cstheme="minorHAnsi"/>
        </w:rPr>
        <w:lastRenderedPageBreak/>
        <w:t xml:space="preserve">Furnizorul se obligă să transmită factura fiscală </w:t>
      </w:r>
      <w:r w:rsidR="00A4519D" w:rsidRPr="00A42E56">
        <w:rPr>
          <w:rFonts w:asciiTheme="minorHAnsi" w:hAnsiTheme="minorHAnsi" w:cstheme="minorHAnsi"/>
        </w:rPr>
        <w:t>pentru</w:t>
      </w:r>
      <w:r w:rsidRPr="00A42E56">
        <w:rPr>
          <w:rFonts w:asciiTheme="minorHAnsi" w:hAnsiTheme="minorHAnsi" w:cstheme="minorHAnsi"/>
        </w:rPr>
        <w:t xml:space="preserve"> bunurile livrate în conformitate cu prezentul contract</w:t>
      </w:r>
      <w:r w:rsidR="00A42E56" w:rsidRPr="00A42E56">
        <w:rPr>
          <w:rFonts w:asciiTheme="minorHAnsi" w:hAnsiTheme="minorHAnsi" w:cstheme="minorHAnsi"/>
        </w:rPr>
        <w:t>; factura va avea menționat numărul contractului, datele de emitere și de scadența ale facturii respective. Factura va fi emisă după semnarea de către Contractant a procesului verbal de recepție calitativă și cantitativă, acceptat, după livrare, instalare și punere în funcțiune</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asigura complet produsele furnizate prin contract împotriva pierderii sau deteriorării neprevăzute la fabricare, transport, depozitare şi livrare.</w:t>
      </w:r>
    </w:p>
    <w:p w14:paraId="560861E7" w14:textId="29ECF177" w:rsidR="00C85943" w:rsidRPr="004030A8"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să aplice prevederile Instrucțiunii nr. 6/30.08.2022 emisă de MIPE, referitoare la colectarea și accesul la datele privind beneficiarii reali ai destinatarilor fondurilor din cadrul PNRR.</w:t>
      </w:r>
    </w:p>
    <w:p w14:paraId="00317A60" w14:textId="77777777" w:rsidR="003D2B71" w:rsidRDefault="004030A8"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7696E">
        <w:rPr>
          <w:rFonts w:asciiTheme="minorHAnsi" w:hAnsiTheme="minorHAnsi" w:cstheme="minorHAnsi"/>
        </w:rPr>
        <w:t xml:space="preserve">Furnizorul are obligația de a constitui garanția de bună execuție a contractului, în cuantum de </w:t>
      </w:r>
      <w:r>
        <w:rPr>
          <w:rFonts w:asciiTheme="minorHAnsi" w:hAnsiTheme="minorHAnsi" w:cstheme="minorHAnsi"/>
        </w:rPr>
        <w:t>10</w:t>
      </w:r>
      <w:r w:rsidRPr="00C7696E">
        <w:rPr>
          <w:rFonts w:asciiTheme="minorHAnsi" w:hAnsiTheme="minorHAnsi" w:cstheme="minorHAnsi"/>
        </w:rPr>
        <w:t>% din valoarea contractului, fără TVA, în conformitate  cu prevederile art.154 al.(3) și (4) din Legea nr.98/2016 privind achizițiile publice, cu modificările și completările ulterioare. Potrivit dispozițiilor art. 154^2 din Legea nr.98/2016 privind achizițiile publice, cu modificările și completările ulterioare, autoritatea contractantă are obligația de a elibera/restitui garanția de bună execuție în cel mult 14 zile de la data întocmirii procesului-verbal de recepție a produselor care fac obiectul contractului de achiziție publică și/sau de la plata facturii finale, dacă nu a ridicat până la acea dată pretenții asupra ei.</w:t>
      </w:r>
    </w:p>
    <w:p w14:paraId="65676C2C"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mobilizarea de resurse suficiente și cu expertiză adecvată pentru a asigura gestionarea contractului, astfel cum este solicitat la nivelul Caietului de Sarcini, </w:t>
      </w:r>
    </w:p>
    <w:p w14:paraId="114AF1B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îndeplinirea obligațiilor contractuale, cu respectarea bunelor practici din domeniu, a prevederilor legale și contractuale relevante, astfel încât să se asigure că obligațiile sunt îndeplinite la parametrii solicitați, </w:t>
      </w:r>
    </w:p>
    <w:p w14:paraId="61C0FDF4"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unui grad de flexibilitate în planificarea modalității de gestionare a contractului, pe toată durata de derulare a contractului, </w:t>
      </w:r>
    </w:p>
    <w:p w14:paraId="09208C8B"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transmiterea datelor de identificare și de contact ale personalului alocat pentru executarea contractului,</w:t>
      </w:r>
    </w:p>
    <w:p w14:paraId="0CBECECE"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colaborarea cu personalul autorității contractante alocat pentru verificarea produselor livrate și realizarea recepțiilor, </w:t>
      </w:r>
    </w:p>
    <w:p w14:paraId="3B066EA8"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reducerea, în măsura posibilă, la minim, a situațiilor de întârzieri în efectuarea livrărilor, minimizând astfel impactul negativ asupra activității autorității contractante, </w:t>
      </w:r>
    </w:p>
    <w:p w14:paraId="670E542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că orice documente, documentații și/sau instrucțiuni furnizate către personalul autorității contractante sunt exacte și elaborate în conformitate cu bunele practici specifice în domeniu, </w:t>
      </w:r>
    </w:p>
    <w:p w14:paraId="06193EED"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prezentarea rapoartelor solicitate de personalul autorității contractante, potrivit cerințelor de raportare stablite prin Contract, </w:t>
      </w:r>
    </w:p>
    <w:p w14:paraId="1D58F982" w14:textId="7188C639" w:rsidR="008C0D40"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colaborarea cu personalul autorității contractante alocat pentru furnizarea produselor care fac obiectul contractului și pentru asigurarea serviciilor accesorii</w:t>
      </w:r>
      <w:r w:rsidR="00EA2A74">
        <w:rPr>
          <w:rFonts w:asciiTheme="minorHAnsi" w:hAnsiTheme="minorHAnsi" w:cstheme="minorHAnsi"/>
        </w:rPr>
        <w:t xml:space="preserve"> livrării produselor</w:t>
      </w:r>
      <w:r w:rsidRPr="00D70632">
        <w:rPr>
          <w:rFonts w:asciiTheme="minorHAnsi" w:hAnsiTheme="minorHAnsi" w:cstheme="minorHAnsi"/>
        </w:rPr>
        <w:t xml:space="preserve">. </w:t>
      </w:r>
    </w:p>
    <w:p w14:paraId="01F81EB4" w14:textId="77777777" w:rsidR="004030A8" w:rsidRPr="004030A8" w:rsidRDefault="004030A8" w:rsidP="004030A8">
      <w:pPr>
        <w:tabs>
          <w:tab w:val="left" w:pos="1080"/>
        </w:tabs>
        <w:autoSpaceDE w:val="0"/>
        <w:adjustRightInd w:val="0"/>
        <w:spacing w:after="0" w:line="240" w:lineRule="auto"/>
        <w:ind w:left="720"/>
        <w:jc w:val="both"/>
        <w:rPr>
          <w:rFonts w:asciiTheme="minorHAnsi" w:hAnsiTheme="minorHAnsi" w:cstheme="minorHAnsi"/>
        </w:rPr>
      </w:pP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recepţioneze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7B5F3D2B" w14:textId="77777777" w:rsidR="002A4CCD"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să plătească preţul produselor către furnizor în termenul convenit, astfel: </w:t>
      </w:r>
      <w:r w:rsidR="002A4CCD" w:rsidRPr="00D21B99">
        <w:rPr>
          <w:rFonts w:asciiTheme="minorHAnsi" w:hAnsiTheme="minorHAnsi" w:cstheme="minorHAnsi"/>
        </w:rPr>
        <w:t xml:space="preserve">Plata se efectuează cu ordin de plată în contul de trezorerie al furnizorului pe baza facturii, a procesului verbal de recepție a produselor la destinația finală, </w:t>
      </w:r>
      <w:r w:rsidR="002A4CCD" w:rsidRPr="00775E8B">
        <w:t>și a tuturor documentelor justificative</w:t>
      </w:r>
      <w:r w:rsidR="002A4CCD">
        <w:t>,</w:t>
      </w:r>
      <w:r w:rsidR="002A4CCD" w:rsidRPr="00D21B99">
        <w:rPr>
          <w:iCs/>
          <w:color w:val="000000" w:themeColor="text1"/>
        </w:rPr>
        <w:t xml:space="preserve"> </w:t>
      </w:r>
      <w:r w:rsidR="002A4CCD" w:rsidRPr="00D21B99">
        <w:rPr>
          <w:rFonts w:asciiTheme="minorHAnsi" w:hAnsiTheme="minorHAnsi" w:cstheme="minorHAnsi"/>
        </w:rPr>
        <w:t xml:space="preserve">din fondurile aferente cererii de transfer de la coordonatorul de reforme si investitii responsabil pentru Componenta C15 PNRR. </w:t>
      </w:r>
    </w:p>
    <w:p w14:paraId="63B9C191" w14:textId="77777777" w:rsidR="006D160E" w:rsidRPr="006D160E" w:rsidRDefault="00C85943"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w:t>
      </w:r>
      <w:r>
        <w:t>să aplice prevederile Instrucțiunii nr. 6/30.08.2022 emisă de MIPE, referitoare la colectarea și accesul la datele privind beneficiarii reali ai destinatarilor fondurilor din cadrul PNRR</w:t>
      </w:r>
      <w:r w:rsidR="002A4CCD">
        <w:t>.</w:t>
      </w:r>
    </w:p>
    <w:p w14:paraId="73E182B0"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lastRenderedPageBreak/>
        <w:t>punerea la dispoziția Contractantului a tuturor informațiilor disponibile și necesare pentru derularea contractului  în timpul stabilit și la nivelul de calitate și performanță prevăzut în Caietul de Sarcini,</w:t>
      </w:r>
    </w:p>
    <w:p w14:paraId="0940F3EA"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asigurarea accesului în spațiile în care urmează a se realiza livrarea, după caz instalarea produselor,</w:t>
      </w:r>
    </w:p>
    <w:p w14:paraId="01548C74"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mobilizarea tuturor resurselor care sunt în sarcina sa, pentru buna derulare a contractului,</w:t>
      </w:r>
    </w:p>
    <w:p w14:paraId="4BA1C603"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colaborarea cu Contractantul pentru a identifica în timp util orice eventuale probleme care ar putea apărea pe parcursul derulării contractului,</w:t>
      </w:r>
    </w:p>
    <w:p w14:paraId="358FE5B8"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asigurarea acurateței oricăror informații puse la dispoziția Contractantului pe durata derulării contractului, </w:t>
      </w:r>
    </w:p>
    <w:p w14:paraId="22059A7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w:t>
      </w:r>
    </w:p>
    <w:p w14:paraId="5E22B0C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notificarea Contractantului prin canalele de comunicație puse la dispoziție de acesta privind orice incidente sau disfuncționalități care intervin pe perioada de derulare a contractului, </w:t>
      </w:r>
    </w:p>
    <w:p w14:paraId="7E35CFB5" w14:textId="5CA26C54" w:rsidR="00056E47" w:rsidRP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verificarea tuturor documentelor asociate recepției produselor și serviciilor suport care fac obiectul contractului, respectiv care confirmă furnizarea produselor potrivit condițiilor de calitate stabilite în Caietul de sarcini.</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Sancţiuni pentru neîndeplinirea culpabilă a obligaţiilor</w:t>
      </w:r>
    </w:p>
    <w:p w14:paraId="359B6F12" w14:textId="00DC658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xml:space="preserve">% pe zi din preţul </w:t>
      </w:r>
      <w:r w:rsidR="00556BBB">
        <w:rPr>
          <w:rFonts w:asciiTheme="minorHAnsi" w:hAnsiTheme="minorHAnsi" w:cstheme="minorHAnsi"/>
        </w:rPr>
        <w:t>produselor nelivrate/ neremediate/ neînlocuite</w:t>
      </w:r>
      <w:r w:rsidRPr="00E57D2D">
        <w:rPr>
          <w:rFonts w:asciiTheme="minorHAnsi" w:hAnsiTheme="minorHAnsi" w:cstheme="minorHAnsi"/>
        </w:rPr>
        <w:t>.</w:t>
      </w:r>
    </w:p>
    <w:p w14:paraId="2700C561" w14:textId="4DE3B84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Recepţie, inspecţii şi teste</w:t>
      </w:r>
    </w:p>
    <w:p w14:paraId="6AB76DB8" w14:textId="65131BB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are obligaţia de a notifica, în scris, furnizorului identitatea reprezentanţilor săi împuterniciţi pentru efectuarea recepţiei, testelor şi inspecţiilor.</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Inspecţiile şi testele din cadrul recepţiei calitative se vor face la destinaţia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vreunul din produsele inspectate sau testate nu corespunde specificaţiilor, achizitorul are dreptul să îl respingă, iar furnizorul are obligaţia, fără a modifica preţul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obligaţia asumării garanţiilor sau altor obligaţii prevăzute în contract.</w:t>
      </w:r>
    </w:p>
    <w:p w14:paraId="65D92688" w14:textId="4020DF3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Furnizorul va transmite achizitorului documentele care însoţesc produsele după cum urmează: factura fiscală și certificatul de garanţie acordat de producător pentru fiecare produs.</w:t>
      </w:r>
    </w:p>
    <w:p w14:paraId="48202F33" w14:textId="313B643E"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r w:rsidR="002040E9">
        <w:rPr>
          <w:rFonts w:asciiTheme="minorHAnsi" w:hAnsiTheme="minorHAnsi" w:cstheme="minorHAnsi"/>
        </w:rPr>
        <w:t>, document care va însoți obligatoriu documentele de plată</w:t>
      </w:r>
      <w:r w:rsidRPr="00E57D2D">
        <w:rPr>
          <w:rFonts w:asciiTheme="minorHAnsi" w:hAnsiTheme="minorHAnsi" w:cstheme="minorHAnsi"/>
        </w:rPr>
        <w:t>.</w:t>
      </w:r>
      <w:r w:rsidR="00A42E56">
        <w:rPr>
          <w:rFonts w:asciiTheme="minorHAnsi" w:hAnsiTheme="minorHAnsi" w:cstheme="minorHAnsi"/>
        </w:rPr>
        <w:t xml:space="preserve"> </w:t>
      </w:r>
      <w:r w:rsidR="00A42E56" w:rsidRPr="00A42E56">
        <w:rPr>
          <w:rFonts w:asciiTheme="minorHAnsi" w:hAnsiTheme="minorHAnsi" w:cstheme="minorHAnsi"/>
        </w:rPr>
        <w:t>Recepția produselor se va efectua în timpul programului de lucru: de luni până vineri între orele 7.30-15.30</w:t>
      </w:r>
      <w:r w:rsidR="00A42E56">
        <w:rPr>
          <w:rFonts w:asciiTheme="minorHAnsi" w:hAnsiTheme="minorHAnsi" w:cstheme="minorHAnsi"/>
        </w:rPr>
        <w:t>, în deplină conformitate cu toate prevederile din Caietul de sarcini al achiziției</w:t>
      </w:r>
      <w:r w:rsidR="00A42E56" w:rsidRPr="00A42E56">
        <w:rPr>
          <w:rFonts w:asciiTheme="minorHAnsi" w:hAnsiTheme="minorHAnsi" w:cstheme="minorHAnsi"/>
        </w:rPr>
        <w:t>.</w:t>
      </w:r>
    </w:p>
    <w:p w14:paraId="1143F5A4" w14:textId="70C9C239" w:rsidR="005107C7"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Livrarea produselor se consideră încheiată în momentul în care sunt îndeplinite prevederile clauzelor de recepţie a produselor.</w:t>
      </w:r>
    </w:p>
    <w:p w14:paraId="072CEF09" w14:textId="374B84BC" w:rsidR="00F2576E" w:rsidRPr="00E57D2D" w:rsidRDefault="00F2576E"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 xml:space="preserve">Termenul de livrare este de maxim </w:t>
      </w:r>
      <w:r w:rsidR="00230F04">
        <w:rPr>
          <w:rFonts w:asciiTheme="minorHAnsi" w:hAnsiTheme="minorHAnsi" w:cstheme="minorHAnsi"/>
        </w:rPr>
        <w:t>45</w:t>
      </w:r>
      <w:r>
        <w:rPr>
          <w:rFonts w:asciiTheme="minorHAnsi" w:hAnsiTheme="minorHAnsi" w:cstheme="minorHAnsi"/>
        </w:rPr>
        <w:t xml:space="preserve"> de zile de la data semnării contractului de către ambele părți</w:t>
      </w:r>
      <w:r w:rsidR="00CF170C">
        <w:rPr>
          <w:rFonts w:asciiTheme="minorHAnsi" w:hAnsiTheme="minorHAnsi" w:cstheme="minorHAnsi"/>
        </w:rPr>
        <w:t xml:space="preserve"> dar nu mai târziu de 31 iulie 2026</w:t>
      </w:r>
      <w:r w:rsidR="004B6827">
        <w:rPr>
          <w:rFonts w:asciiTheme="minorHAnsi" w:hAnsiTheme="minorHAnsi" w:cstheme="minorHAnsi"/>
        </w:rPr>
        <w:t xml:space="preserve">. </w:t>
      </w:r>
      <w:r w:rsidR="004B6827" w:rsidRPr="004B6827">
        <w:rPr>
          <w:rFonts w:asciiTheme="minorHAnsi" w:hAnsiTheme="minorHAnsi" w:cstheme="minorHAnsi"/>
        </w:rPr>
        <w:t>Destinația de livrare este la sediul Campusului integrat pentru învățământ dual – PRODUAL din Sibiu, str. Calea Dumbrăvii, nr.131-133.</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Ambalare şi marcare</w:t>
      </w:r>
    </w:p>
    <w:p w14:paraId="431E950F" w14:textId="77777777" w:rsidR="00316FD3" w:rsidRPr="00316FD3" w:rsidRDefault="00316FD3" w:rsidP="00316FD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Ofertantul va lua în considerare, acolo unde este cazul, distanta față de destinația finală a produselor furnizate și eventuala absență a facilităților de manipulare la punctele de tranzitare.</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14:paraId="2286D28C"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 xml:space="preserve">Ofertantul va ambala și eticheta produsele furnizate astfel încât să prevină orice daună sau deteriorare în timpul transportului acestora către destinația stabilită. </w:t>
      </w:r>
    </w:p>
    <w:p w14:paraId="71721505"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Transportul și toate costurile asociate sunt în sarcina exclusivă a contractantului. Produsele vor fi asigurate împotriva pierderii sau deteriorării intervenite pe parcursul transportului și cauzate de orice factor extern.</w:t>
      </w:r>
    </w:p>
    <w:p w14:paraId="4A491F83" w14:textId="355DFAFA"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Ofertantul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1876176D" w14:textId="77777777" w:rsidR="0033560C" w:rsidRPr="00316FD3" w:rsidRDefault="0033560C" w:rsidP="00316FD3">
      <w:pPr>
        <w:autoSpaceDE w:val="0"/>
        <w:adjustRightInd w:val="0"/>
        <w:spacing w:after="0" w:line="240" w:lineRule="auto"/>
        <w:ind w:left="810"/>
        <w:jc w:val="both"/>
        <w:rPr>
          <w:rFonts w:asciiTheme="minorHAnsi" w:hAnsiTheme="minorHAnsi" w:cstheme="minorHAnsi"/>
        </w:rPr>
      </w:pP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Perioada de garanţie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5886C0CD" w14:textId="6E86B0EF"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garanţie acordată produselor de către furnizor este cea declarată în </w:t>
      </w:r>
      <w:r w:rsidR="00215F5F" w:rsidRPr="00E57D2D">
        <w:rPr>
          <w:rFonts w:asciiTheme="minorHAnsi" w:hAnsiTheme="minorHAnsi" w:cstheme="minorHAnsi"/>
        </w:rPr>
        <w:t>oferta acceptată</w:t>
      </w:r>
      <w:r w:rsidR="00C16C8B">
        <w:rPr>
          <w:rFonts w:asciiTheme="minorHAnsi" w:hAnsiTheme="minorHAnsi" w:cstheme="minorHAnsi"/>
        </w:rPr>
        <w:t xml:space="preserve">. </w:t>
      </w:r>
      <w:r w:rsidR="00C16C8B" w:rsidRPr="00C16C8B">
        <w:rPr>
          <w:rFonts w:asciiTheme="minorHAnsi" w:hAnsiTheme="minorHAnsi" w:cstheme="minorHAnsi"/>
        </w:rPr>
        <w:t>Toate produsele trebuie să fie acoperite de garanție pentru cel puțin perioada solicitată pentru fiecare produs. Perioada de garanție începe de la data livrării produselor</w:t>
      </w:r>
      <w:r w:rsidRPr="00E57D2D">
        <w:rPr>
          <w:rFonts w:asciiTheme="minorHAnsi" w:hAnsiTheme="minorHAnsi" w:cstheme="minorHAnsi"/>
        </w:rPr>
        <w:t>.</w:t>
      </w:r>
    </w:p>
    <w:p w14:paraId="449F57A2" w14:textId="2F8C3106"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garanţie a produselor începe cu data recepţiei efectuate după livrarea </w:t>
      </w:r>
      <w:r w:rsidR="00DC299F">
        <w:rPr>
          <w:rFonts w:asciiTheme="minorHAnsi" w:hAnsiTheme="minorHAnsi" w:cstheme="minorHAnsi"/>
        </w:rPr>
        <w:t xml:space="preserve">si punerea pe poziție a </w:t>
      </w:r>
      <w:r w:rsidRPr="00E57D2D">
        <w:rPr>
          <w:rFonts w:asciiTheme="minorHAnsi" w:hAnsiTheme="minorHAnsi" w:cstheme="minorHAnsi"/>
        </w:rPr>
        <w:t>acestora la destinaţia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Achizitorul are dreptul de a notifica imediat furnizorului, în scris, orice plângere sau reclamaţie ce apare în conformitate cu această garanţie.</w:t>
      </w:r>
    </w:p>
    <w:p w14:paraId="65E89BEC" w14:textId="38BADDC4"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obligaţia de a remedia defecţiunea sau de a înlocui produsul în termen de </w:t>
      </w:r>
      <w:r w:rsidR="002B6C07">
        <w:rPr>
          <w:rFonts w:asciiTheme="minorHAnsi" w:hAnsiTheme="minorHAnsi" w:cstheme="minorHAnsi"/>
        </w:rPr>
        <w:t>5</w:t>
      </w:r>
      <w:r w:rsidR="001463A6">
        <w:rPr>
          <w:rFonts w:asciiTheme="minorHAnsi" w:hAnsiTheme="minorHAnsi" w:cstheme="minorHAnsi"/>
        </w:rPr>
        <w:t xml:space="preserve"> </w:t>
      </w:r>
      <w:r w:rsidRPr="00E57D2D">
        <w:rPr>
          <w:rFonts w:asciiTheme="minorHAnsi" w:hAnsiTheme="minorHAnsi" w:cstheme="minorHAnsi"/>
        </w:rPr>
        <w:t>zile lucrătoare de la data notificării, fără costuri suplimentare pentru achizitor. Produsele care, în timpul perioadei de garanţie, le înlocuiesc pe cele defecte beneficiază de o nouă perioadă de garanţie care curge de la data înlocuirii produsului.</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Dacă furnizorul, după ce a fost înştiinţat, nu reuşeşte să remedieze defectul în perioada de timp menţionată</w:t>
      </w:r>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şi pe cheltuiala furnizorului şi fără a aduce niciun prejudiciu oricăror alte drepturi pe care achizitorul le poate avea faţă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Ajustarea preţului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Pentru produsele livrate, plăţile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Preţul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Forţa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Forţa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Soluţionarea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comunicare între părţi,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document scris trebuie înregistrat atât în momentul transmiterii, cât şi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referitoare la prezentul contract vor fi adresate la urmatoarele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0CC06FB4"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0386FB2"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E49AE5C" w14:textId="00EA9451" w:rsidR="001B331E" w:rsidRPr="00E57D2D" w:rsidRDefault="001B331E" w:rsidP="002C01F5">
      <w:pPr>
        <w:autoSpaceDE w:val="0"/>
        <w:adjustRightInd w:val="0"/>
        <w:spacing w:after="120"/>
        <w:ind w:left="1080" w:firstLine="720"/>
        <w:jc w:val="both"/>
        <w:rPr>
          <w:rFonts w:asciiTheme="minorHAnsi" w:hAnsiTheme="minorHAnsi" w:cstheme="minorHAnsi"/>
        </w:rPr>
      </w:pPr>
      <w:r w:rsidRPr="00E57D2D">
        <w:rPr>
          <w:rFonts w:eastAsia="Arial Unicode MS" w:cs="Calibri"/>
        </w:rPr>
        <w:lastRenderedPageBreak/>
        <w:t xml:space="preserve">e-mail: </w:t>
      </w:r>
      <w:r w:rsidR="008D799A">
        <w:fldChar w:fldCharType="begin"/>
      </w:r>
      <w:r w:rsidR="008D799A">
        <w:instrText xml:space="preserve"> HYPERLINK "mailto:cabinet@transgaz.ro" </w:instrText>
      </w:r>
      <w:r w:rsidR="008D799A">
        <w:fldChar w:fldCharType="separate"/>
      </w:r>
      <w:r w:rsidR="008D799A">
        <w:fldChar w:fldCharType="end"/>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E5E271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r w:rsidR="008D799A">
        <w:fldChar w:fldCharType="begin"/>
      </w:r>
      <w:r w:rsidR="008D799A">
        <w:instrText xml:space="preserve"> HYPERLINK "mailto:cabinet@transgaz.ro" </w:instrText>
      </w:r>
      <w:r w:rsidR="008D799A">
        <w:fldChar w:fldCharType="separate"/>
      </w:r>
      <w:r w:rsidR="008D799A">
        <w:fldChar w:fldCharType="end"/>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678F9477"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00953E09">
        <w:rPr>
          <w:rFonts w:ascii="Calibri" w:eastAsia="Arial Unicode MS" w:hAnsi="Calibri" w:cs="Calibri"/>
          <w:sz w:val="22"/>
          <w:szCs w:val="22"/>
          <w:shd w:val="clear" w:color="auto" w:fill="D9D9D9" w:themeFill="background1" w:themeFillShade="D9"/>
        </w:rPr>
        <w:t xml:space="preserve">2 </w:t>
      </w:r>
      <w:r w:rsidRPr="00E57D2D">
        <w:rPr>
          <w:rFonts w:ascii="Calibri" w:eastAsia="Arial Unicode MS" w:hAnsi="Calibri" w:cs="Calibri"/>
          <w:sz w:val="22"/>
          <w:szCs w:val="22"/>
        </w:rPr>
        <w:t>(</w:t>
      </w:r>
      <w:r w:rsidR="00953E09">
        <w:rPr>
          <w:rFonts w:ascii="Calibri" w:eastAsia="Arial Unicode MS" w:hAnsi="Calibri" w:cs="Calibri"/>
          <w:i/>
          <w:sz w:val="22"/>
          <w:szCs w:val="22"/>
          <w:shd w:val="clear" w:color="auto" w:fill="D9D9D9" w:themeFill="background1" w:themeFillShade="D9"/>
        </w:rPr>
        <w:t>două</w:t>
      </w:r>
      <w:r w:rsidRPr="00E57D2D">
        <w:rPr>
          <w:rFonts w:ascii="Calibri" w:eastAsia="Arial Unicode MS" w:hAnsi="Calibri" w:cs="Calibri"/>
          <w:sz w:val="22"/>
          <w:szCs w:val="22"/>
        </w:rPr>
        <w:t>) exemplare</w:t>
      </w:r>
      <w:r w:rsidR="00953E09">
        <w:rPr>
          <w:rFonts w:ascii="Calibri" w:eastAsia="Arial Unicode MS" w:hAnsi="Calibri" w:cs="Calibri"/>
          <w:sz w:val="22"/>
          <w:szCs w:val="22"/>
        </w:rPr>
        <w:t xml:space="preserve"> originale, câte unul pentru fiecare parte</w:t>
      </w:r>
      <w:r w:rsidRPr="00E57D2D">
        <w:rPr>
          <w:rFonts w:ascii="Calibri" w:eastAsia="Arial Unicode MS" w:hAnsi="Calibri" w:cs="Calibri"/>
          <w:sz w:val="22"/>
          <w:szCs w:val="22"/>
        </w:rPr>
        <w:t>.</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shd w:val="clear" w:color="auto" w:fill="auto"/>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bl>
    <w:p w14:paraId="62A88AA4" w14:textId="09BE0902"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Universitatea “Lucian Blaga” din Sibiu           </w:t>
      </w:r>
      <w:r w:rsidRPr="00A969A9">
        <w:rPr>
          <w:rStyle w:val="apple-converted-space"/>
          <w:rFonts w:ascii="Calibri" w:hAnsi="Calibri" w:cs="Calibri"/>
          <w:sz w:val="22"/>
          <w:szCs w:val="22"/>
          <w:lang w:val="it-CH"/>
        </w:rPr>
        <w:t> </w:t>
      </w:r>
      <w:r w:rsidRPr="00A969A9">
        <w:rPr>
          <w:rFonts w:ascii="Calibri" w:hAnsi="Calibri" w:cs="Calibri"/>
          <w:sz w:val="22"/>
          <w:szCs w:val="22"/>
          <w:lang w:val="it-CH"/>
        </w:rPr>
        <w:t>      </w:t>
      </w:r>
      <w:r w:rsidRPr="00A969A9">
        <w:rPr>
          <w:rFonts w:ascii="Calibri" w:hAnsi="Calibri" w:cs="Calibri"/>
          <w:bCs/>
          <w:sz w:val="22"/>
          <w:szCs w:val="22"/>
          <w:lang w:val="ro-RO"/>
        </w:rPr>
        <w:tab/>
        <w:t xml:space="preserve">              </w:t>
      </w:r>
    </w:p>
    <w:p w14:paraId="76DB9C01" w14:textId="5A6C37B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lang w:val="it-CH"/>
        </w:rPr>
        <w:t xml:space="preserve">                         </w:t>
      </w:r>
      <w:r w:rsidRPr="00A969A9">
        <w:rPr>
          <w:rFonts w:ascii="Calibri" w:hAnsi="Calibri" w:cs="Calibri"/>
          <w:sz w:val="22"/>
          <w:szCs w:val="22"/>
        </w:rPr>
        <w:t xml:space="preserve">Rector,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p>
    <w:p w14:paraId="61FCB7D1" w14:textId="04A244D8"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Prof. univ. dr. habil Sorin RADU</w:t>
      </w:r>
      <w:r w:rsidRPr="00A969A9">
        <w:rPr>
          <w:rFonts w:ascii="Calibri" w:hAnsi="Calibri" w:cs="Calibri"/>
          <w:sz w:val="22"/>
          <w:szCs w:val="22"/>
        </w:rPr>
        <w:tab/>
      </w:r>
      <w:r w:rsidRPr="00A969A9">
        <w:rPr>
          <w:rFonts w:ascii="Calibri" w:hAnsi="Calibri" w:cs="Calibri"/>
          <w:sz w:val="22"/>
          <w:szCs w:val="22"/>
        </w:rPr>
        <w:tab/>
        <w:t xml:space="preserve">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lang w:val="ro-RO"/>
        </w:rPr>
        <w:t xml:space="preserve"> </w:t>
      </w:r>
    </w:p>
    <w:p w14:paraId="3724A4AB"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13CE028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61429BD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Director General </w:t>
      </w:r>
      <w:proofErr w:type="spellStart"/>
      <w:r w:rsidRPr="00A969A9">
        <w:rPr>
          <w:rFonts w:ascii="Calibri" w:hAnsi="Calibri" w:cs="Calibri"/>
          <w:sz w:val="22"/>
          <w:szCs w:val="22"/>
        </w:rPr>
        <w:t>Administrativ</w:t>
      </w:r>
      <w:proofErr w:type="spellEnd"/>
    </w:p>
    <w:p w14:paraId="5360D7C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Ing. Sebastian-</w:t>
      </w:r>
      <w:proofErr w:type="spellStart"/>
      <w:r w:rsidRPr="00A969A9">
        <w:rPr>
          <w:rFonts w:ascii="Calibri" w:hAnsi="Calibri" w:cs="Calibri"/>
          <w:sz w:val="22"/>
          <w:szCs w:val="22"/>
        </w:rPr>
        <w:t>Toader</w:t>
      </w:r>
      <w:proofErr w:type="spellEnd"/>
      <w:r w:rsidRPr="00A969A9">
        <w:rPr>
          <w:rFonts w:ascii="Calibri" w:hAnsi="Calibri" w:cs="Calibri"/>
          <w:sz w:val="22"/>
          <w:szCs w:val="22"/>
        </w:rPr>
        <w:t xml:space="preserve"> DOTCOȘ</w:t>
      </w:r>
    </w:p>
    <w:p w14:paraId="4541C262"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w:t>
      </w:r>
    </w:p>
    <w:p w14:paraId="06CAF715"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33758D1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rPr>
        <w:t xml:space="preserve">      </w:t>
      </w:r>
      <w:r w:rsidRPr="00A969A9">
        <w:rPr>
          <w:rFonts w:ascii="Calibri" w:hAnsi="Calibri" w:cs="Calibri"/>
          <w:sz w:val="22"/>
          <w:szCs w:val="22"/>
          <w:lang w:val="it-CH"/>
        </w:rPr>
        <w:t>Director financiar- contabil</w:t>
      </w:r>
    </w:p>
    <w:p w14:paraId="3FB16DA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Ec. Cristina Maria PUIA</w:t>
      </w:r>
    </w:p>
    <w:p w14:paraId="14C7E35B" w14:textId="40E1D5DE" w:rsidR="00E22A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p>
    <w:p w14:paraId="32D67765" w14:textId="77777777" w:rsidR="00A47CB7" w:rsidRPr="00A969A9" w:rsidRDefault="00A47CB7" w:rsidP="00E22AA9">
      <w:pPr>
        <w:pStyle w:val="NormalWeb"/>
        <w:shd w:val="clear" w:color="auto" w:fill="FFFFFF"/>
        <w:spacing w:before="0" w:beforeAutospacing="0" w:after="0" w:afterAutospacing="0"/>
        <w:jc w:val="both"/>
        <w:rPr>
          <w:rFonts w:ascii="Calibri" w:hAnsi="Calibri" w:cs="Calibri"/>
          <w:sz w:val="22"/>
          <w:szCs w:val="22"/>
          <w:lang w:val="it-CH"/>
        </w:rPr>
      </w:pPr>
    </w:p>
    <w:p w14:paraId="5369C511"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Comp. Juridic</w:t>
      </w:r>
    </w:p>
    <w:p w14:paraId="1BBA010F" w14:textId="77777777" w:rsidR="00E22AA9" w:rsidRPr="00FC0506"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xml:space="preserve">       Cons.jr. Lăcrămioara ALBU</w:t>
      </w:r>
    </w:p>
    <w:p w14:paraId="588E51AC" w14:textId="572FDFC6" w:rsidR="00733031" w:rsidRPr="00E22AA9" w:rsidRDefault="00733031" w:rsidP="002F2832">
      <w:pPr>
        <w:spacing w:after="0" w:line="240" w:lineRule="auto"/>
        <w:rPr>
          <w:rFonts w:cs="Calibri"/>
          <w:lang w:val="it-CH"/>
        </w:rPr>
      </w:pPr>
    </w:p>
    <w:sectPr w:rsidR="00733031" w:rsidRPr="00E22AA9" w:rsidSect="007D7050">
      <w:footerReference w:type="default" r:id="rId9"/>
      <w:footerReference w:type="first" r:id="rId10"/>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C250" w14:textId="77777777" w:rsidR="008D799A" w:rsidRDefault="008D799A">
      <w:pPr>
        <w:spacing w:after="0" w:line="240" w:lineRule="auto"/>
      </w:pPr>
      <w:r>
        <w:separator/>
      </w:r>
    </w:p>
  </w:endnote>
  <w:endnote w:type="continuationSeparator" w:id="0">
    <w:p w14:paraId="4DD9D7C2" w14:textId="77777777" w:rsidR="008D799A" w:rsidRDefault="008D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7FBA" w14:textId="77777777" w:rsidR="008D799A" w:rsidRDefault="008D799A">
      <w:pPr>
        <w:spacing w:after="0" w:line="240" w:lineRule="auto"/>
      </w:pPr>
      <w:r>
        <w:rPr>
          <w:color w:val="000000"/>
        </w:rPr>
        <w:separator/>
      </w:r>
    </w:p>
  </w:footnote>
  <w:footnote w:type="continuationSeparator" w:id="0">
    <w:p w14:paraId="58DE5AC7" w14:textId="77777777" w:rsidR="008D799A" w:rsidRDefault="008D7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0E4"/>
    <w:rsid w:val="0002047E"/>
    <w:rsid w:val="00025B33"/>
    <w:rsid w:val="000273F2"/>
    <w:rsid w:val="00033ACD"/>
    <w:rsid w:val="00040D0D"/>
    <w:rsid w:val="000515DF"/>
    <w:rsid w:val="00056E47"/>
    <w:rsid w:val="00062A2B"/>
    <w:rsid w:val="000631D3"/>
    <w:rsid w:val="00065684"/>
    <w:rsid w:val="000677EA"/>
    <w:rsid w:val="00067BA5"/>
    <w:rsid w:val="00070F0E"/>
    <w:rsid w:val="00080EC4"/>
    <w:rsid w:val="00082116"/>
    <w:rsid w:val="00090628"/>
    <w:rsid w:val="000A2558"/>
    <w:rsid w:val="000A68F0"/>
    <w:rsid w:val="000B0BE6"/>
    <w:rsid w:val="000B5824"/>
    <w:rsid w:val="000B75CC"/>
    <w:rsid w:val="000E002F"/>
    <w:rsid w:val="000E2A61"/>
    <w:rsid w:val="000E4EB7"/>
    <w:rsid w:val="000E5D88"/>
    <w:rsid w:val="00110762"/>
    <w:rsid w:val="00113EDC"/>
    <w:rsid w:val="00132CF3"/>
    <w:rsid w:val="001463A6"/>
    <w:rsid w:val="00155D24"/>
    <w:rsid w:val="001600F8"/>
    <w:rsid w:val="0016043A"/>
    <w:rsid w:val="00162683"/>
    <w:rsid w:val="00171980"/>
    <w:rsid w:val="001778C9"/>
    <w:rsid w:val="00177E37"/>
    <w:rsid w:val="00183AE4"/>
    <w:rsid w:val="00192C46"/>
    <w:rsid w:val="0019342A"/>
    <w:rsid w:val="00196DEA"/>
    <w:rsid w:val="001A096D"/>
    <w:rsid w:val="001B1C60"/>
    <w:rsid w:val="001B331E"/>
    <w:rsid w:val="001B49D3"/>
    <w:rsid w:val="001D75ED"/>
    <w:rsid w:val="00202360"/>
    <w:rsid w:val="002040E9"/>
    <w:rsid w:val="00215F5F"/>
    <w:rsid w:val="00220258"/>
    <w:rsid w:val="00230F04"/>
    <w:rsid w:val="0023331E"/>
    <w:rsid w:val="00235978"/>
    <w:rsid w:val="002365D4"/>
    <w:rsid w:val="0024050E"/>
    <w:rsid w:val="002463E1"/>
    <w:rsid w:val="002509D9"/>
    <w:rsid w:val="00251119"/>
    <w:rsid w:val="00253D2D"/>
    <w:rsid w:val="002540B0"/>
    <w:rsid w:val="002563C4"/>
    <w:rsid w:val="00256F2F"/>
    <w:rsid w:val="00294303"/>
    <w:rsid w:val="002A0062"/>
    <w:rsid w:val="002A4CCD"/>
    <w:rsid w:val="002A62C7"/>
    <w:rsid w:val="002B477B"/>
    <w:rsid w:val="002B6C07"/>
    <w:rsid w:val="002B70D5"/>
    <w:rsid w:val="002C01F5"/>
    <w:rsid w:val="002C58A3"/>
    <w:rsid w:val="002C713D"/>
    <w:rsid w:val="002E0ADE"/>
    <w:rsid w:val="002F2832"/>
    <w:rsid w:val="00303034"/>
    <w:rsid w:val="003069FB"/>
    <w:rsid w:val="00311024"/>
    <w:rsid w:val="00316FD3"/>
    <w:rsid w:val="00322049"/>
    <w:rsid w:val="00326C41"/>
    <w:rsid w:val="0033155A"/>
    <w:rsid w:val="00334157"/>
    <w:rsid w:val="0033560C"/>
    <w:rsid w:val="003435A4"/>
    <w:rsid w:val="0034634A"/>
    <w:rsid w:val="00354D6F"/>
    <w:rsid w:val="00363106"/>
    <w:rsid w:val="00364F68"/>
    <w:rsid w:val="0037220D"/>
    <w:rsid w:val="00376D84"/>
    <w:rsid w:val="00383DFE"/>
    <w:rsid w:val="00392E6E"/>
    <w:rsid w:val="003972A6"/>
    <w:rsid w:val="003A770E"/>
    <w:rsid w:val="003B6FF5"/>
    <w:rsid w:val="003D2B71"/>
    <w:rsid w:val="003D47A3"/>
    <w:rsid w:val="003E024D"/>
    <w:rsid w:val="003E4A4A"/>
    <w:rsid w:val="003E55AD"/>
    <w:rsid w:val="003F3D48"/>
    <w:rsid w:val="00401A14"/>
    <w:rsid w:val="004030A8"/>
    <w:rsid w:val="00405122"/>
    <w:rsid w:val="00411765"/>
    <w:rsid w:val="004121BC"/>
    <w:rsid w:val="00437326"/>
    <w:rsid w:val="00447D20"/>
    <w:rsid w:val="00456383"/>
    <w:rsid w:val="004563C7"/>
    <w:rsid w:val="004673FD"/>
    <w:rsid w:val="00473C82"/>
    <w:rsid w:val="00474F37"/>
    <w:rsid w:val="004836D2"/>
    <w:rsid w:val="00491204"/>
    <w:rsid w:val="00491488"/>
    <w:rsid w:val="004B31C6"/>
    <w:rsid w:val="004B3BB5"/>
    <w:rsid w:val="004B47E6"/>
    <w:rsid w:val="004B6827"/>
    <w:rsid w:val="004B6C68"/>
    <w:rsid w:val="004C50BF"/>
    <w:rsid w:val="004D0952"/>
    <w:rsid w:val="004D2510"/>
    <w:rsid w:val="004D4B59"/>
    <w:rsid w:val="004D543B"/>
    <w:rsid w:val="005056A4"/>
    <w:rsid w:val="005107C4"/>
    <w:rsid w:val="005107C7"/>
    <w:rsid w:val="0052551E"/>
    <w:rsid w:val="005278F8"/>
    <w:rsid w:val="005306EC"/>
    <w:rsid w:val="00530B13"/>
    <w:rsid w:val="00532497"/>
    <w:rsid w:val="00545FF4"/>
    <w:rsid w:val="00553CE9"/>
    <w:rsid w:val="00556BBB"/>
    <w:rsid w:val="0056293E"/>
    <w:rsid w:val="005740AF"/>
    <w:rsid w:val="0057424B"/>
    <w:rsid w:val="005749AB"/>
    <w:rsid w:val="0057760E"/>
    <w:rsid w:val="00586A56"/>
    <w:rsid w:val="005A3F1A"/>
    <w:rsid w:val="005A7CF5"/>
    <w:rsid w:val="005B785D"/>
    <w:rsid w:val="005D5299"/>
    <w:rsid w:val="005E05A0"/>
    <w:rsid w:val="005E14DA"/>
    <w:rsid w:val="005F6CE7"/>
    <w:rsid w:val="00611586"/>
    <w:rsid w:val="006139B9"/>
    <w:rsid w:val="00614F89"/>
    <w:rsid w:val="006241AB"/>
    <w:rsid w:val="00631E60"/>
    <w:rsid w:val="006324FF"/>
    <w:rsid w:val="0063446F"/>
    <w:rsid w:val="00657C16"/>
    <w:rsid w:val="00675005"/>
    <w:rsid w:val="00677BD0"/>
    <w:rsid w:val="006C1D86"/>
    <w:rsid w:val="006C507F"/>
    <w:rsid w:val="006D160E"/>
    <w:rsid w:val="006D2270"/>
    <w:rsid w:val="006D62AE"/>
    <w:rsid w:val="006F1CB4"/>
    <w:rsid w:val="006F3149"/>
    <w:rsid w:val="006F52D0"/>
    <w:rsid w:val="006F585C"/>
    <w:rsid w:val="0070029C"/>
    <w:rsid w:val="00700615"/>
    <w:rsid w:val="00703677"/>
    <w:rsid w:val="00703ECD"/>
    <w:rsid w:val="00724360"/>
    <w:rsid w:val="00725403"/>
    <w:rsid w:val="00727C7E"/>
    <w:rsid w:val="00730BB3"/>
    <w:rsid w:val="00731397"/>
    <w:rsid w:val="00733031"/>
    <w:rsid w:val="00744E77"/>
    <w:rsid w:val="00754A94"/>
    <w:rsid w:val="00756D31"/>
    <w:rsid w:val="00761177"/>
    <w:rsid w:val="00761F1F"/>
    <w:rsid w:val="00763878"/>
    <w:rsid w:val="00765B68"/>
    <w:rsid w:val="00784B60"/>
    <w:rsid w:val="00785A25"/>
    <w:rsid w:val="00786BB4"/>
    <w:rsid w:val="007A0386"/>
    <w:rsid w:val="007A25B4"/>
    <w:rsid w:val="007A2B66"/>
    <w:rsid w:val="007B5FAE"/>
    <w:rsid w:val="007C111D"/>
    <w:rsid w:val="007C57EC"/>
    <w:rsid w:val="007C6EF5"/>
    <w:rsid w:val="007D7050"/>
    <w:rsid w:val="007E20D3"/>
    <w:rsid w:val="007F0113"/>
    <w:rsid w:val="007F44F1"/>
    <w:rsid w:val="008023C5"/>
    <w:rsid w:val="0080457C"/>
    <w:rsid w:val="00810E96"/>
    <w:rsid w:val="0081193E"/>
    <w:rsid w:val="00821C5F"/>
    <w:rsid w:val="00824086"/>
    <w:rsid w:val="00830355"/>
    <w:rsid w:val="008322F0"/>
    <w:rsid w:val="00836EC2"/>
    <w:rsid w:val="00842800"/>
    <w:rsid w:val="008616A9"/>
    <w:rsid w:val="00862103"/>
    <w:rsid w:val="00864D12"/>
    <w:rsid w:val="008776FD"/>
    <w:rsid w:val="00896C7E"/>
    <w:rsid w:val="008B19D2"/>
    <w:rsid w:val="008C0D40"/>
    <w:rsid w:val="008C2EEE"/>
    <w:rsid w:val="008D2E8F"/>
    <w:rsid w:val="008D799A"/>
    <w:rsid w:val="009042E2"/>
    <w:rsid w:val="00905922"/>
    <w:rsid w:val="009133A3"/>
    <w:rsid w:val="00916113"/>
    <w:rsid w:val="00931B47"/>
    <w:rsid w:val="00941F21"/>
    <w:rsid w:val="0094539E"/>
    <w:rsid w:val="00945723"/>
    <w:rsid w:val="00945CA8"/>
    <w:rsid w:val="009465CD"/>
    <w:rsid w:val="00947229"/>
    <w:rsid w:val="00953644"/>
    <w:rsid w:val="00953E09"/>
    <w:rsid w:val="00956367"/>
    <w:rsid w:val="00964CFF"/>
    <w:rsid w:val="00972382"/>
    <w:rsid w:val="00995A3D"/>
    <w:rsid w:val="0099658A"/>
    <w:rsid w:val="009A04FB"/>
    <w:rsid w:val="009A1ACE"/>
    <w:rsid w:val="009C363B"/>
    <w:rsid w:val="009D155E"/>
    <w:rsid w:val="009D4674"/>
    <w:rsid w:val="009E0D9A"/>
    <w:rsid w:val="009E44FB"/>
    <w:rsid w:val="00A05A31"/>
    <w:rsid w:val="00A07CF7"/>
    <w:rsid w:val="00A13774"/>
    <w:rsid w:val="00A13EFC"/>
    <w:rsid w:val="00A23F56"/>
    <w:rsid w:val="00A27893"/>
    <w:rsid w:val="00A42E56"/>
    <w:rsid w:val="00A4519D"/>
    <w:rsid w:val="00A47CB7"/>
    <w:rsid w:val="00A57A61"/>
    <w:rsid w:val="00AA17A3"/>
    <w:rsid w:val="00AA35E8"/>
    <w:rsid w:val="00AA5937"/>
    <w:rsid w:val="00AC0394"/>
    <w:rsid w:val="00AC07E2"/>
    <w:rsid w:val="00AD0BD5"/>
    <w:rsid w:val="00AD67F7"/>
    <w:rsid w:val="00AE28A2"/>
    <w:rsid w:val="00AF5992"/>
    <w:rsid w:val="00B006E0"/>
    <w:rsid w:val="00B01AB3"/>
    <w:rsid w:val="00B01F5E"/>
    <w:rsid w:val="00B024E4"/>
    <w:rsid w:val="00B028A2"/>
    <w:rsid w:val="00B07396"/>
    <w:rsid w:val="00B20A0C"/>
    <w:rsid w:val="00B306A4"/>
    <w:rsid w:val="00B40C47"/>
    <w:rsid w:val="00B42E6F"/>
    <w:rsid w:val="00B53DBC"/>
    <w:rsid w:val="00B6576A"/>
    <w:rsid w:val="00B65F18"/>
    <w:rsid w:val="00B671B1"/>
    <w:rsid w:val="00B70D5A"/>
    <w:rsid w:val="00B7251F"/>
    <w:rsid w:val="00B822A6"/>
    <w:rsid w:val="00B84FE1"/>
    <w:rsid w:val="00B93C5A"/>
    <w:rsid w:val="00B94342"/>
    <w:rsid w:val="00B94DCE"/>
    <w:rsid w:val="00BB0EB0"/>
    <w:rsid w:val="00BB744A"/>
    <w:rsid w:val="00BD20A8"/>
    <w:rsid w:val="00BE2969"/>
    <w:rsid w:val="00BE378A"/>
    <w:rsid w:val="00BE5765"/>
    <w:rsid w:val="00BE6591"/>
    <w:rsid w:val="00C16C8B"/>
    <w:rsid w:val="00C23263"/>
    <w:rsid w:val="00C3708F"/>
    <w:rsid w:val="00C37FD0"/>
    <w:rsid w:val="00C430FD"/>
    <w:rsid w:val="00C57311"/>
    <w:rsid w:val="00C62153"/>
    <w:rsid w:val="00C678FC"/>
    <w:rsid w:val="00C74C1D"/>
    <w:rsid w:val="00C75D2D"/>
    <w:rsid w:val="00C85943"/>
    <w:rsid w:val="00C92ACF"/>
    <w:rsid w:val="00C9418B"/>
    <w:rsid w:val="00C94FF7"/>
    <w:rsid w:val="00C97B56"/>
    <w:rsid w:val="00C97B6B"/>
    <w:rsid w:val="00CA0E82"/>
    <w:rsid w:val="00CA35BF"/>
    <w:rsid w:val="00CA7673"/>
    <w:rsid w:val="00CB6FF1"/>
    <w:rsid w:val="00CC214B"/>
    <w:rsid w:val="00CD4B3A"/>
    <w:rsid w:val="00CF170C"/>
    <w:rsid w:val="00CF2BB9"/>
    <w:rsid w:val="00D01F61"/>
    <w:rsid w:val="00D03899"/>
    <w:rsid w:val="00D1114F"/>
    <w:rsid w:val="00D11B82"/>
    <w:rsid w:val="00D1697F"/>
    <w:rsid w:val="00D21776"/>
    <w:rsid w:val="00D26941"/>
    <w:rsid w:val="00D378B1"/>
    <w:rsid w:val="00D56273"/>
    <w:rsid w:val="00D70632"/>
    <w:rsid w:val="00D84BC7"/>
    <w:rsid w:val="00D920A0"/>
    <w:rsid w:val="00D94641"/>
    <w:rsid w:val="00DA7800"/>
    <w:rsid w:val="00DB06BB"/>
    <w:rsid w:val="00DB360A"/>
    <w:rsid w:val="00DC299F"/>
    <w:rsid w:val="00DD3F36"/>
    <w:rsid w:val="00E004DD"/>
    <w:rsid w:val="00E11384"/>
    <w:rsid w:val="00E22AA9"/>
    <w:rsid w:val="00E30D2C"/>
    <w:rsid w:val="00E34815"/>
    <w:rsid w:val="00E37125"/>
    <w:rsid w:val="00E44916"/>
    <w:rsid w:val="00E4570C"/>
    <w:rsid w:val="00E468DF"/>
    <w:rsid w:val="00E57D2D"/>
    <w:rsid w:val="00E62147"/>
    <w:rsid w:val="00E65C9E"/>
    <w:rsid w:val="00E71910"/>
    <w:rsid w:val="00E72C4C"/>
    <w:rsid w:val="00E84193"/>
    <w:rsid w:val="00E8701A"/>
    <w:rsid w:val="00E94329"/>
    <w:rsid w:val="00EA2A74"/>
    <w:rsid w:val="00EA4CB6"/>
    <w:rsid w:val="00EB5201"/>
    <w:rsid w:val="00EB5E2E"/>
    <w:rsid w:val="00EC2E73"/>
    <w:rsid w:val="00EC3512"/>
    <w:rsid w:val="00ED4F5C"/>
    <w:rsid w:val="00ED510D"/>
    <w:rsid w:val="00EE31E7"/>
    <w:rsid w:val="00EE766A"/>
    <w:rsid w:val="00EF34BD"/>
    <w:rsid w:val="00F027EE"/>
    <w:rsid w:val="00F2576E"/>
    <w:rsid w:val="00F410B9"/>
    <w:rsid w:val="00F418AB"/>
    <w:rsid w:val="00F42BBF"/>
    <w:rsid w:val="00F57444"/>
    <w:rsid w:val="00F708BF"/>
    <w:rsid w:val="00F756C4"/>
    <w:rsid w:val="00F81A20"/>
    <w:rsid w:val="00F903C1"/>
    <w:rsid w:val="00F908EE"/>
    <w:rsid w:val="00FA5C09"/>
    <w:rsid w:val="00FB1A84"/>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 w:type="paragraph" w:styleId="NormalWeb">
    <w:name w:val="Normal (Web)"/>
    <w:basedOn w:val="Normal"/>
    <w:uiPriority w:val="99"/>
    <w:unhideWhenUsed/>
    <w:rsid w:val="00E22AA9"/>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apple-converted-space">
    <w:name w:val="apple-converted-space"/>
    <w:rsid w:val="00E2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Lacramioara Bogdan</dc:creator>
  <cp:lastModifiedBy>Elena Isac</cp:lastModifiedBy>
  <cp:revision>2</cp:revision>
  <dcterms:created xsi:type="dcterms:W3CDTF">2026-03-20T08:51:00Z</dcterms:created>
  <dcterms:modified xsi:type="dcterms:W3CDTF">2026-03-20T08:51:00Z</dcterms:modified>
</cp:coreProperties>
</file>