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5DF1" w14:textId="77777777" w:rsidR="009E7A64" w:rsidRPr="005925D1" w:rsidRDefault="009E7A64" w:rsidP="009E7A64">
      <w:pPr>
        <w:suppressAutoHyphens w:val="0"/>
        <w:spacing w:after="0"/>
        <w:contextualSpacing/>
        <w:jc w:val="both"/>
        <w:rPr>
          <w:rFonts w:ascii="Times New Roman" w:eastAsia="Times New Roman" w:hAnsi="Times New Roman" w:cs="Times New Roman"/>
          <w:b/>
          <w:color w:val="000000"/>
          <w:sz w:val="24"/>
          <w:szCs w:val="24"/>
          <w:lang w:val="it-IT" w:eastAsia="en-US"/>
        </w:rPr>
      </w:pPr>
      <w:r w:rsidRPr="005925D1">
        <w:rPr>
          <w:rFonts w:ascii="Times New Roman" w:eastAsia="Times New Roman" w:hAnsi="Times New Roman" w:cs="Times New Roman"/>
          <w:b/>
          <w:color w:val="000000"/>
          <w:sz w:val="24"/>
          <w:szCs w:val="24"/>
          <w:lang w:val="it-IT" w:eastAsia="en-US"/>
        </w:rPr>
        <w:t>III.1.6) Depozite valorice si garantii solicitate:</w:t>
      </w:r>
    </w:p>
    <w:p w14:paraId="4805C82F" w14:textId="77777777" w:rsidR="009E7A64" w:rsidRPr="002601DD" w:rsidRDefault="009E7A64" w:rsidP="009E7A64">
      <w:pPr>
        <w:suppressAutoHyphens w:val="0"/>
        <w:spacing w:after="0"/>
        <w:contextualSpacing/>
        <w:jc w:val="both"/>
        <w:rPr>
          <w:rFonts w:ascii="Times New Roman" w:eastAsia="Times New Roman" w:hAnsi="Times New Roman" w:cs="Times New Roman"/>
          <w:b/>
          <w:color w:val="000000"/>
          <w:sz w:val="24"/>
          <w:szCs w:val="24"/>
          <w:lang w:val="it-IT" w:eastAsia="en-US"/>
        </w:rPr>
      </w:pPr>
      <w:bookmarkStart w:id="0" w:name="_Hlk209682517"/>
      <w:r w:rsidRPr="002601DD">
        <w:rPr>
          <w:rFonts w:ascii="Times New Roman" w:eastAsia="Times New Roman" w:hAnsi="Times New Roman" w:cs="Times New Roman"/>
          <w:b/>
          <w:color w:val="000000"/>
          <w:sz w:val="24"/>
          <w:szCs w:val="24"/>
          <w:lang w:val="it-IT" w:eastAsia="en-US"/>
        </w:rPr>
        <w:t>III.1.6.a) Garantie de participare:</w:t>
      </w:r>
    </w:p>
    <w:p w14:paraId="20DD808D" w14:textId="77777777" w:rsidR="009E7A64" w:rsidRPr="00743E0F" w:rsidRDefault="009E7A64" w:rsidP="009E7A64">
      <w:pPr>
        <w:tabs>
          <w:tab w:val="left" w:pos="0"/>
        </w:tabs>
        <w:suppressAutoHyphens w:val="0"/>
        <w:spacing w:after="0"/>
        <w:contextualSpacing/>
        <w:jc w:val="both"/>
        <w:rPr>
          <w:rFonts w:ascii="Times New Roman" w:eastAsia="SimSun" w:hAnsi="Times New Roman" w:cs="Times New Roman"/>
          <w:b/>
          <w:sz w:val="24"/>
          <w:szCs w:val="24"/>
          <w:lang w:val="fr-FR" w:eastAsia="zh-CN"/>
        </w:rPr>
      </w:pPr>
      <w:r w:rsidRPr="00743E0F">
        <w:rPr>
          <w:rFonts w:ascii="Times New Roman" w:eastAsia="SimSun" w:hAnsi="Times New Roman" w:cs="Times New Roman"/>
          <w:b/>
          <w:sz w:val="24"/>
          <w:szCs w:val="24"/>
          <w:lang w:val="fr-FR" w:eastAsia="zh-CN"/>
        </w:rPr>
        <w:t>Cuantumul garantiei de participare:</w:t>
      </w:r>
    </w:p>
    <w:p w14:paraId="6C997404" w14:textId="77777777" w:rsidR="009E7A64" w:rsidRPr="00743E0F" w:rsidRDefault="009E7A64" w:rsidP="009E7A64">
      <w:pPr>
        <w:tabs>
          <w:tab w:val="left" w:pos="0"/>
        </w:tabs>
        <w:suppressAutoHyphens w:val="0"/>
        <w:spacing w:after="0"/>
        <w:contextualSpacing/>
        <w:jc w:val="both"/>
        <w:rPr>
          <w:rFonts w:ascii="Times New Roman" w:eastAsia="SimSun" w:hAnsi="Times New Roman" w:cs="Times New Roman"/>
          <w:bCs/>
          <w:color w:val="000000"/>
          <w:sz w:val="24"/>
          <w:szCs w:val="24"/>
          <w:lang w:val="fr-FR" w:eastAsia="zh-CN"/>
        </w:rPr>
      </w:pPr>
      <w:r w:rsidRPr="00743E0F">
        <w:rPr>
          <w:rFonts w:ascii="Times New Roman" w:eastAsia="SimSun" w:hAnsi="Times New Roman" w:cs="Times New Roman"/>
          <w:bCs/>
          <w:color w:val="000000"/>
          <w:sz w:val="24"/>
          <w:szCs w:val="24"/>
          <w:lang w:val="fr-FR" w:eastAsia="zh-CN"/>
        </w:rPr>
        <w:t xml:space="preserve">- 1% din valoarea estimată a celui mai mare contract subsecvent pentru lotul 1, respectiv  </w:t>
      </w:r>
      <w:r>
        <w:rPr>
          <w:rFonts w:ascii="Times New Roman" w:eastAsia="SimSun" w:hAnsi="Times New Roman" w:cs="Times New Roman"/>
          <w:bCs/>
          <w:color w:val="000000"/>
          <w:sz w:val="24"/>
          <w:szCs w:val="24"/>
          <w:lang w:val="fr-FR" w:eastAsia="zh-CN"/>
        </w:rPr>
        <w:t xml:space="preserve">15.000 </w:t>
      </w:r>
      <w:r w:rsidRPr="00743E0F">
        <w:rPr>
          <w:rFonts w:ascii="Times New Roman" w:eastAsia="SimSun" w:hAnsi="Times New Roman" w:cs="Times New Roman"/>
          <w:b/>
          <w:color w:val="000000"/>
          <w:sz w:val="24"/>
          <w:szCs w:val="24"/>
          <w:lang w:val="fr-FR" w:eastAsia="zh-CN"/>
        </w:rPr>
        <w:t>lei</w:t>
      </w:r>
      <w:r w:rsidRPr="00743E0F">
        <w:rPr>
          <w:rFonts w:ascii="Times New Roman" w:eastAsia="SimSun" w:hAnsi="Times New Roman" w:cs="Times New Roman"/>
          <w:bCs/>
          <w:color w:val="000000"/>
          <w:sz w:val="24"/>
          <w:szCs w:val="24"/>
          <w:lang w:val="fr-FR" w:eastAsia="zh-CN"/>
        </w:rPr>
        <w:t>.</w:t>
      </w:r>
    </w:p>
    <w:p w14:paraId="5604B2A4" w14:textId="77777777" w:rsidR="009E7A64" w:rsidRDefault="009E7A64" w:rsidP="009E7A64">
      <w:pPr>
        <w:tabs>
          <w:tab w:val="left" w:pos="0"/>
        </w:tabs>
        <w:suppressAutoHyphens w:val="0"/>
        <w:spacing w:after="0"/>
        <w:contextualSpacing/>
        <w:jc w:val="both"/>
        <w:rPr>
          <w:rFonts w:ascii="Times New Roman" w:eastAsia="SimSun" w:hAnsi="Times New Roman" w:cs="Times New Roman"/>
          <w:bCs/>
          <w:color w:val="000000"/>
          <w:sz w:val="24"/>
          <w:szCs w:val="24"/>
          <w:lang w:val="fr-FR" w:eastAsia="zh-CN"/>
        </w:rPr>
      </w:pPr>
      <w:r w:rsidRPr="00743E0F">
        <w:rPr>
          <w:rFonts w:ascii="Times New Roman" w:eastAsia="SimSun" w:hAnsi="Times New Roman" w:cs="Times New Roman"/>
          <w:bCs/>
          <w:color w:val="000000"/>
          <w:sz w:val="24"/>
          <w:szCs w:val="24"/>
          <w:lang w:val="fr-FR" w:eastAsia="zh-CN"/>
        </w:rPr>
        <w:t xml:space="preserve">- 1% din valoarea estimată a celui mai mare contract subsecvent pentru lotul 2, respectiv  </w:t>
      </w:r>
      <w:r>
        <w:rPr>
          <w:rFonts w:ascii="Times New Roman" w:eastAsia="SimSun" w:hAnsi="Times New Roman" w:cs="Times New Roman"/>
          <w:b/>
          <w:color w:val="000000"/>
          <w:sz w:val="24"/>
          <w:szCs w:val="24"/>
          <w:lang w:val="fr-FR" w:eastAsia="zh-CN"/>
        </w:rPr>
        <w:t xml:space="preserve">15.000 </w:t>
      </w:r>
      <w:r w:rsidRPr="00743E0F">
        <w:rPr>
          <w:rFonts w:ascii="Times New Roman" w:eastAsia="SimSun" w:hAnsi="Times New Roman" w:cs="Times New Roman"/>
          <w:b/>
          <w:color w:val="000000"/>
          <w:sz w:val="24"/>
          <w:szCs w:val="24"/>
          <w:lang w:val="fr-FR" w:eastAsia="zh-CN"/>
        </w:rPr>
        <w:t>lei</w:t>
      </w:r>
      <w:r w:rsidRPr="00743E0F">
        <w:rPr>
          <w:rFonts w:ascii="Times New Roman" w:eastAsia="SimSun" w:hAnsi="Times New Roman" w:cs="Times New Roman"/>
          <w:bCs/>
          <w:color w:val="000000"/>
          <w:sz w:val="24"/>
          <w:szCs w:val="24"/>
          <w:lang w:val="fr-FR" w:eastAsia="zh-CN"/>
        </w:rPr>
        <w:t>.</w:t>
      </w:r>
    </w:p>
    <w:p w14:paraId="0D461AB8" w14:textId="77777777" w:rsidR="009E7A64" w:rsidRPr="00743E0F" w:rsidRDefault="009E7A64" w:rsidP="009E7A64">
      <w:pPr>
        <w:tabs>
          <w:tab w:val="left" w:pos="0"/>
        </w:tabs>
        <w:suppressAutoHyphens w:val="0"/>
        <w:spacing w:after="0"/>
        <w:contextualSpacing/>
        <w:jc w:val="both"/>
        <w:rPr>
          <w:rFonts w:ascii="Times New Roman" w:eastAsia="SimSun" w:hAnsi="Times New Roman" w:cs="Times New Roman"/>
          <w:bCs/>
          <w:color w:val="000000"/>
          <w:sz w:val="24"/>
          <w:szCs w:val="24"/>
          <w:lang w:val="fr-FR" w:eastAsia="zh-CN"/>
        </w:rPr>
      </w:pPr>
      <w:r>
        <w:rPr>
          <w:rFonts w:ascii="Times New Roman" w:eastAsia="SimSun" w:hAnsi="Times New Roman" w:cs="Times New Roman"/>
          <w:bCs/>
          <w:color w:val="000000"/>
          <w:sz w:val="24"/>
          <w:szCs w:val="24"/>
          <w:lang w:val="fr-FR" w:eastAsia="zh-CN"/>
        </w:rPr>
        <w:t>-</w:t>
      </w:r>
      <w:r w:rsidRPr="00743E0F">
        <w:rPr>
          <w:rFonts w:ascii="Times New Roman" w:eastAsia="SimSun" w:hAnsi="Times New Roman" w:cs="Times New Roman"/>
          <w:bCs/>
          <w:color w:val="000000"/>
          <w:sz w:val="24"/>
          <w:szCs w:val="24"/>
          <w:lang w:val="fr-FR" w:eastAsia="zh-CN"/>
        </w:rPr>
        <w:t xml:space="preserve"> 1% din valoarea estimată a celui mai mare contract subsecvent pentru lotul </w:t>
      </w:r>
      <w:r>
        <w:rPr>
          <w:rFonts w:ascii="Times New Roman" w:eastAsia="SimSun" w:hAnsi="Times New Roman" w:cs="Times New Roman"/>
          <w:bCs/>
          <w:color w:val="000000"/>
          <w:sz w:val="24"/>
          <w:szCs w:val="24"/>
          <w:lang w:val="fr-FR" w:eastAsia="zh-CN"/>
        </w:rPr>
        <w:t>3</w:t>
      </w:r>
      <w:r w:rsidRPr="00743E0F">
        <w:rPr>
          <w:rFonts w:ascii="Times New Roman" w:eastAsia="SimSun" w:hAnsi="Times New Roman" w:cs="Times New Roman"/>
          <w:bCs/>
          <w:color w:val="000000"/>
          <w:sz w:val="24"/>
          <w:szCs w:val="24"/>
          <w:lang w:val="fr-FR" w:eastAsia="zh-CN"/>
        </w:rPr>
        <w:t xml:space="preserve">, respectiv  </w:t>
      </w:r>
      <w:r>
        <w:rPr>
          <w:rFonts w:ascii="Times New Roman" w:eastAsia="SimSun" w:hAnsi="Times New Roman" w:cs="Times New Roman"/>
          <w:b/>
          <w:color w:val="000000"/>
          <w:sz w:val="24"/>
          <w:szCs w:val="24"/>
          <w:lang w:val="fr-FR" w:eastAsia="zh-CN"/>
        </w:rPr>
        <w:t xml:space="preserve">15.000 </w:t>
      </w:r>
      <w:r w:rsidRPr="00743E0F">
        <w:rPr>
          <w:rFonts w:ascii="Times New Roman" w:eastAsia="SimSun" w:hAnsi="Times New Roman" w:cs="Times New Roman"/>
          <w:b/>
          <w:color w:val="000000"/>
          <w:sz w:val="24"/>
          <w:szCs w:val="24"/>
          <w:lang w:val="fr-FR" w:eastAsia="zh-CN"/>
        </w:rPr>
        <w:t>lei</w:t>
      </w:r>
      <w:r w:rsidRPr="00743E0F">
        <w:rPr>
          <w:rFonts w:ascii="Times New Roman" w:eastAsia="SimSun" w:hAnsi="Times New Roman" w:cs="Times New Roman"/>
          <w:bCs/>
          <w:color w:val="000000"/>
          <w:sz w:val="24"/>
          <w:szCs w:val="24"/>
          <w:lang w:val="fr-FR" w:eastAsia="zh-CN"/>
        </w:rPr>
        <w:t>.</w:t>
      </w:r>
    </w:p>
    <w:p w14:paraId="557BAFDA" w14:textId="77777777" w:rsidR="009E7A64" w:rsidRPr="00743E0F" w:rsidRDefault="009E7A64" w:rsidP="009E7A64">
      <w:pPr>
        <w:tabs>
          <w:tab w:val="left" w:pos="0"/>
        </w:tabs>
        <w:suppressAutoHyphens w:val="0"/>
        <w:spacing w:after="0"/>
        <w:contextualSpacing/>
        <w:jc w:val="both"/>
        <w:rPr>
          <w:rFonts w:ascii="Times New Roman" w:eastAsia="SimSun" w:hAnsi="Times New Roman" w:cs="Times New Roman"/>
          <w:bCs/>
          <w:color w:val="000000"/>
          <w:sz w:val="24"/>
          <w:szCs w:val="24"/>
          <w:lang w:val="fr-FR" w:eastAsia="zh-CN"/>
        </w:rPr>
      </w:pPr>
    </w:p>
    <w:p w14:paraId="05162214" w14:textId="77777777" w:rsidR="009E7A64" w:rsidRPr="00743E0F" w:rsidRDefault="009E7A64" w:rsidP="009E7A64">
      <w:pPr>
        <w:suppressAutoHyphens w:val="0"/>
        <w:spacing w:after="0"/>
        <w:contextualSpacing/>
        <w:jc w:val="both"/>
        <w:rPr>
          <w:rFonts w:ascii="Times New Roman" w:hAnsi="Times New Roman" w:cs="Times New Roman"/>
          <w:sz w:val="24"/>
          <w:szCs w:val="24"/>
        </w:rPr>
      </w:pPr>
      <w:r w:rsidRPr="00743E0F">
        <w:rPr>
          <w:rFonts w:ascii="Times New Roman" w:hAnsi="Times New Roman" w:cs="Times New Roman"/>
          <w:b/>
          <w:sz w:val="24"/>
          <w:szCs w:val="24"/>
        </w:rPr>
        <w:t>Valabilitatea garanției de participare:</w:t>
      </w:r>
      <w:r w:rsidRPr="00743E0F">
        <w:rPr>
          <w:rFonts w:ascii="Times New Roman" w:hAnsi="Times New Roman" w:cs="Times New Roman"/>
          <w:bCs/>
          <w:sz w:val="24"/>
          <w:szCs w:val="24"/>
        </w:rPr>
        <w:t xml:space="preserve"> </w:t>
      </w:r>
      <w:r>
        <w:rPr>
          <w:rFonts w:ascii="Times New Roman" w:hAnsi="Times New Roman" w:cs="Times New Roman"/>
          <w:b/>
          <w:sz w:val="24"/>
          <w:szCs w:val="24"/>
        </w:rPr>
        <w:t>180 zile</w:t>
      </w:r>
      <w:r w:rsidRPr="00743E0F">
        <w:rPr>
          <w:rFonts w:ascii="Times New Roman" w:hAnsi="Times New Roman" w:cs="Times New Roman"/>
          <w:bCs/>
          <w:sz w:val="24"/>
          <w:szCs w:val="24"/>
        </w:rPr>
        <w:t xml:space="preserve"> de la termenul limita de depunere a ofertelor.</w:t>
      </w:r>
      <w:r w:rsidRPr="00743E0F">
        <w:rPr>
          <w:rFonts w:ascii="Times New Roman" w:hAnsi="Times New Roman" w:cs="Times New Roman"/>
          <w:sz w:val="24"/>
          <w:szCs w:val="24"/>
        </w:rPr>
        <w:t xml:space="preserve"> In cazul prezentarii garantiei in alta moneda, cursul de schimb la care se va face echiv leu/alta valuta va fi cursul BNR valabil cu 5 zile inainte de data limita de depunere a ofertelor</w:t>
      </w:r>
      <w:r w:rsidRPr="00C251BC">
        <w:rPr>
          <w:rFonts w:ascii="Times New Roman" w:hAnsi="Times New Roman" w:cs="Times New Roman"/>
          <w:sz w:val="24"/>
          <w:szCs w:val="24"/>
        </w:rPr>
        <w:t xml:space="preserve">..Garantia de participare se constituie prin virament bancar in contul </w:t>
      </w:r>
      <w:r w:rsidRPr="00C251BC">
        <w:rPr>
          <w:rFonts w:ascii="Times New Roman" w:eastAsia="Times New Roman" w:hAnsi="Times New Roman" w:cs="Times New Roman"/>
          <w:sz w:val="24"/>
          <w:szCs w:val="24"/>
        </w:rPr>
        <w:t>BANCA TRANSILVANIA GL: RO59BTRL01801202A11573XX RON sau BRD GL:  RO92BRDE180SV03879201800 RON</w:t>
      </w:r>
      <w:r w:rsidRPr="00C251BC">
        <w:rPr>
          <w:rFonts w:ascii="Times New Roman" w:hAnsi="Times New Roman" w:cs="Times New Roman"/>
          <w:sz w:val="24"/>
          <w:szCs w:val="24"/>
        </w:rPr>
        <w:t xml:space="preserve"> sau sau printr-un instrument de garantare emis în condițiile legii astfel:a) scrisoare de garanție emisa de o instituție de credit din România sau din alt stat;b)scrisori de garanţie emise de instituţii financiare nebancare din România sau din alt stat pentru achiziţiile de lucrări a căror valoare estimată este mai mică sau egală cu 40.000.000 lei fără TVA; asigurări de garanţii emise: fie de societăţi de asigurare care deţin autorizaţii de funcţionare emise în România sau într-un alt stat membru al Uniunii Europene şi/sau care sunt înscrise în registrele publicate pe site-ul Autorităţii de Supraveghere Financiară, după caz;fie de societăţi de asigurare din state terţe prin sucursale autorizate în România de către Autoritatea de Supraveghere Financiară. Garantia de participare obligatoriu se va posta in SEAP (scanata) semnata cu semnatura electronica extinsa bazata pe un certificat digital calificat eliberat de un furnizor de servicii de certificare acreditat pana la data limita stabilita pentru depunerea ofertelor, in cuantumul si pentru perioada prevazuita in documentatia de atribuire.In cazul instrumentului de garantare se va avea in vedere ca acestea sa confirme irevocabilitatea garantiei constituita si trebuie sa prevada ca plata garantiei de participare se va executa neconditionat, respectiv la prima cerere a beneficiarului, pe baza declaratiei acestuia cu privire la culpa persoanei garantate.Pentru Asociere, garantia de participare trebuie constituita in numele asocierii si sa se mentioneze ca acopera in mod solidar toti membrii grupului de operatori  economici. Autoritatea contractanta poate solicita extinderea perioadei de valabilitate a ofertei. In cazul in care ofertantul isi extinde perioada de valabilitate a ofertei, perioada de valabilitate a garantiei de participare va fi prelungita in mod corespunzator. In caz contrar, se</w:t>
      </w:r>
      <w:r w:rsidRPr="00C251BC">
        <w:rPr>
          <w:rFonts w:ascii="Times New Roman" w:hAnsi="Times New Roman" w:cs="Times New Roman"/>
          <w:b/>
          <w:bCs/>
          <w:sz w:val="24"/>
          <w:szCs w:val="24"/>
        </w:rPr>
        <w:t xml:space="preserve"> </w:t>
      </w:r>
      <w:r w:rsidRPr="00C251BC">
        <w:rPr>
          <w:rFonts w:ascii="Times New Roman" w:hAnsi="Times New Roman" w:cs="Times New Roman"/>
          <w:bCs/>
          <w:sz w:val="24"/>
          <w:szCs w:val="24"/>
        </w:rPr>
        <w:t xml:space="preserve">considera </w:t>
      </w:r>
      <w:r w:rsidRPr="00C251BC">
        <w:rPr>
          <w:rFonts w:ascii="Times New Roman" w:hAnsi="Times New Roman" w:cs="Times New Roman"/>
          <w:sz w:val="24"/>
          <w:szCs w:val="24"/>
        </w:rPr>
        <w:t>ca acesta si-a retras oferta si  va fi exclus din procedura</w:t>
      </w:r>
      <w:r w:rsidRPr="00C251BC">
        <w:rPr>
          <w:rFonts w:ascii="Times New Roman" w:hAnsi="Times New Roman" w:cs="Times New Roman"/>
          <w:sz w:val="24"/>
          <w:szCs w:val="24"/>
          <w:highlight w:val="yellow"/>
        </w:rPr>
        <w:t>.</w:t>
      </w:r>
    </w:p>
    <w:p w14:paraId="3D26119D" w14:textId="77777777" w:rsidR="009E7A64" w:rsidRDefault="009E7A64" w:rsidP="009E7A64">
      <w:pPr>
        <w:suppressAutoHyphens w:val="0"/>
        <w:spacing w:after="0"/>
        <w:contextualSpacing/>
        <w:jc w:val="both"/>
        <w:rPr>
          <w:rFonts w:ascii="Times New Roman" w:eastAsia="Times New Roman" w:hAnsi="Times New Roman" w:cs="Times New Roman"/>
          <w:b/>
          <w:color w:val="000000"/>
          <w:sz w:val="24"/>
          <w:szCs w:val="24"/>
          <w:lang w:val="fr-FR" w:eastAsia="en-US"/>
        </w:rPr>
      </w:pPr>
    </w:p>
    <w:p w14:paraId="787E7E49" w14:textId="77777777" w:rsidR="009E7A64" w:rsidRPr="005925D1" w:rsidRDefault="009E7A64" w:rsidP="009E7A64">
      <w:pPr>
        <w:suppressAutoHyphens w:val="0"/>
        <w:spacing w:after="0"/>
        <w:contextualSpacing/>
        <w:jc w:val="both"/>
        <w:rPr>
          <w:rFonts w:ascii="Times New Roman" w:eastAsia="Times New Roman" w:hAnsi="Times New Roman" w:cs="Times New Roman"/>
          <w:b/>
          <w:color w:val="000000"/>
          <w:sz w:val="24"/>
          <w:szCs w:val="24"/>
          <w:lang w:val="fr-FR" w:eastAsia="en-US"/>
        </w:rPr>
      </w:pPr>
      <w:r w:rsidRPr="005925D1">
        <w:rPr>
          <w:rFonts w:ascii="Times New Roman" w:eastAsia="Times New Roman" w:hAnsi="Times New Roman" w:cs="Times New Roman"/>
          <w:b/>
          <w:color w:val="000000"/>
          <w:sz w:val="24"/>
          <w:szCs w:val="24"/>
          <w:lang w:val="fr-FR" w:eastAsia="en-US"/>
        </w:rPr>
        <w:t>III.1.6.b) Garantie de buna executie</w:t>
      </w:r>
    </w:p>
    <w:p w14:paraId="27BFB6F3" w14:textId="77777777" w:rsidR="009E7A64" w:rsidRPr="00743E0F" w:rsidRDefault="009E7A64" w:rsidP="009E7A64">
      <w:pPr>
        <w:suppressAutoHyphens w:val="0"/>
        <w:spacing w:after="0"/>
        <w:contextualSpacing/>
        <w:jc w:val="both"/>
        <w:rPr>
          <w:rFonts w:ascii="Times New Roman" w:eastAsia="Times New Roman" w:hAnsi="Times New Roman" w:cs="Times New Roman"/>
          <w:sz w:val="24"/>
          <w:szCs w:val="24"/>
          <w:lang w:eastAsia="en-US"/>
        </w:rPr>
      </w:pPr>
      <w:r w:rsidRPr="00743E0F">
        <w:rPr>
          <w:rFonts w:ascii="Times New Roman" w:eastAsia="Times New Roman" w:hAnsi="Times New Roman" w:cs="Times New Roman"/>
          <w:sz w:val="24"/>
          <w:szCs w:val="24"/>
          <w:lang w:eastAsia="en-US"/>
        </w:rPr>
        <w:t xml:space="preserve">Cuantumul garantiei de buna executie: </w:t>
      </w:r>
      <w:r w:rsidRPr="00743E0F">
        <w:rPr>
          <w:rFonts w:ascii="Times New Roman" w:eastAsia="Times New Roman" w:hAnsi="Times New Roman" w:cs="Times New Roman"/>
          <w:b/>
          <w:bCs/>
          <w:sz w:val="24"/>
          <w:szCs w:val="24"/>
          <w:lang w:eastAsia="en-US"/>
        </w:rPr>
        <w:t>10%</w:t>
      </w:r>
      <w:r w:rsidRPr="00743E0F">
        <w:rPr>
          <w:rFonts w:ascii="Times New Roman" w:eastAsia="Times New Roman" w:hAnsi="Times New Roman" w:cs="Times New Roman"/>
          <w:sz w:val="24"/>
          <w:szCs w:val="24"/>
          <w:lang w:eastAsia="en-US"/>
        </w:rPr>
        <w:t xml:space="preserve"> din pretul contractului subsecvent de achizitie sectoriala,  fara TVA.</w:t>
      </w:r>
    </w:p>
    <w:p w14:paraId="00DA48A5" w14:textId="77777777" w:rsidR="009E7A64" w:rsidRPr="00743E0F" w:rsidRDefault="009E7A64" w:rsidP="009E7A64">
      <w:pPr>
        <w:suppressAutoHyphens w:val="0"/>
        <w:spacing w:after="120"/>
        <w:contextualSpacing/>
        <w:jc w:val="both"/>
        <w:rPr>
          <w:rFonts w:ascii="Times New Roman" w:hAnsi="Times New Roman" w:cs="Times New Roman"/>
          <w:noProof/>
          <w:sz w:val="24"/>
          <w:szCs w:val="24"/>
          <w:lang w:eastAsia="en-US"/>
        </w:rPr>
      </w:pPr>
      <w:r w:rsidRPr="00743E0F">
        <w:rPr>
          <w:rFonts w:ascii="Times New Roman" w:hAnsi="Times New Roman" w:cs="Times New Roman"/>
          <w:noProof/>
          <w:sz w:val="24"/>
          <w:szCs w:val="24"/>
          <w:lang w:eastAsia="en-US"/>
        </w:rPr>
        <w:t xml:space="preserve">Perioada de valabilitate a garanţiei de bună execuţie a contractului este cel puţin egală cu durata contractului, iar dovada constituirii garanţiei de bună execuţie a contractului se va face în termen de 5 zile lucratoare de la semnarea contractului de catre ambele parti. Acest termen poate fi prelungit la solicitarea justificata a contractantului, fără a depăși 15 zile de la data </w:t>
      </w:r>
      <w:r w:rsidRPr="00743E0F">
        <w:rPr>
          <w:rFonts w:ascii="Times New Roman" w:hAnsi="Times New Roman" w:cs="Times New Roman"/>
          <w:noProof/>
          <w:sz w:val="24"/>
          <w:szCs w:val="24"/>
          <w:lang w:eastAsia="en-US"/>
        </w:rPr>
        <w:lastRenderedPageBreak/>
        <w:t>semnării Contractului</w:t>
      </w:r>
      <w:r>
        <w:rPr>
          <w:rFonts w:ascii="Times New Roman" w:hAnsi="Times New Roman" w:cs="Times New Roman"/>
          <w:noProof/>
          <w:sz w:val="24"/>
          <w:szCs w:val="24"/>
          <w:lang w:eastAsia="en-US"/>
        </w:rPr>
        <w:t xml:space="preserve"> Subsecvent</w:t>
      </w:r>
      <w:r w:rsidRPr="00743E0F">
        <w:rPr>
          <w:rFonts w:ascii="Times New Roman" w:hAnsi="Times New Roman" w:cs="Times New Roman"/>
          <w:noProof/>
          <w:sz w:val="24"/>
          <w:szCs w:val="24"/>
          <w:lang w:eastAsia="en-US"/>
        </w:rPr>
        <w:t>.</w:t>
      </w:r>
      <w:r>
        <w:rPr>
          <w:rFonts w:ascii="Times New Roman" w:hAnsi="Times New Roman" w:cs="Times New Roman"/>
          <w:noProof/>
          <w:sz w:val="24"/>
          <w:szCs w:val="24"/>
          <w:lang w:eastAsia="en-US"/>
        </w:rPr>
        <w:t xml:space="preserve"> </w:t>
      </w:r>
      <w:r w:rsidRPr="00743E0F">
        <w:rPr>
          <w:rFonts w:ascii="Times New Roman" w:hAnsi="Times New Roman" w:cs="Times New Roman"/>
          <w:noProof/>
          <w:sz w:val="24"/>
          <w:szCs w:val="24"/>
          <w:lang w:eastAsia="en-US"/>
        </w:rPr>
        <w:t>Modul de constituire a garanţiei de bună execuţie se face conform articolului 164 alin (4) din Legea 99/2016.</w:t>
      </w:r>
      <w:r>
        <w:rPr>
          <w:rFonts w:ascii="Times New Roman" w:hAnsi="Times New Roman" w:cs="Times New Roman"/>
          <w:noProof/>
          <w:sz w:val="24"/>
          <w:szCs w:val="24"/>
          <w:lang w:eastAsia="en-US"/>
        </w:rPr>
        <w:t xml:space="preserve"> </w:t>
      </w:r>
      <w:r w:rsidRPr="00743E0F">
        <w:rPr>
          <w:rFonts w:ascii="Times New Roman" w:hAnsi="Times New Roman" w:cs="Times New Roman"/>
          <w:noProof/>
          <w:sz w:val="24"/>
          <w:szCs w:val="24"/>
          <w:lang w:eastAsia="en-US"/>
        </w:rPr>
        <w:t>Entitatea contractantă îsi rezervă dreptul de a emite pretenţii asupra garanţiei de bună execuţie, oricând pe parcursul îndeplinirii contractului, în limita prejudiciului creat, în cazul în care contractantul nu îşi îndeplineşte, din culpa sa, obligaţiile asumate prin contract.  Anterior emiterii unei pretenţii asupra garanţiei de bună execuţie entitatea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 garanţia în cauză raportat la restul rămas de executat.</w:t>
      </w:r>
    </w:p>
    <w:p w14:paraId="5121968A" w14:textId="77777777" w:rsidR="009E7A64" w:rsidRPr="00743E0F" w:rsidRDefault="009E7A64" w:rsidP="009E7A64">
      <w:pPr>
        <w:suppressAutoHyphens w:val="0"/>
        <w:spacing w:after="0"/>
        <w:contextualSpacing/>
        <w:jc w:val="both"/>
        <w:rPr>
          <w:rFonts w:ascii="Times New Roman" w:hAnsi="Times New Roman" w:cs="Times New Roman"/>
          <w:noProof/>
          <w:color w:val="000000"/>
          <w:sz w:val="24"/>
          <w:szCs w:val="24"/>
          <w:lang w:eastAsia="en-US"/>
        </w:rPr>
      </w:pPr>
      <w:r w:rsidRPr="00743E0F">
        <w:rPr>
          <w:rFonts w:ascii="Times New Roman" w:hAnsi="Times New Roman" w:cs="Times New Roman"/>
          <w:noProof/>
          <w:color w:val="000000"/>
          <w:sz w:val="24"/>
          <w:szCs w:val="24"/>
          <w:lang w:eastAsia="en-US"/>
        </w:rPr>
        <w:t>Restituirea garanţiei de bună execuţie se va efectua in conformitate cu prevederile art. 164^2 alin (4) din Legea nr. 99/2016.</w:t>
      </w:r>
    </w:p>
    <w:bookmarkEnd w:id="0"/>
    <w:p w14:paraId="72C90034" w14:textId="77777777" w:rsidR="00882940" w:rsidRDefault="00882940"/>
    <w:sectPr w:rsidR="00882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64"/>
    <w:rsid w:val="00882940"/>
    <w:rsid w:val="009E7A64"/>
    <w:rsid w:val="00BD4074"/>
    <w:rsid w:val="00E25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330D"/>
  <w15:chartTrackingRefBased/>
  <w15:docId w15:val="{5E7E9547-34E6-498E-9BD6-F808DDDD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64"/>
    <w:pPr>
      <w:suppressAutoHyphens/>
      <w:spacing w:after="200" w:line="276" w:lineRule="auto"/>
    </w:pPr>
    <w:rPr>
      <w:rFonts w:ascii="Calibri" w:eastAsia="Calibri" w:hAnsi="Calibri" w:cs="Calibri"/>
      <w:kern w:val="0"/>
      <w:sz w:val="22"/>
      <w:szCs w:val="22"/>
      <w:lang w:val="ro-RO" w:eastAsia="ar-SA"/>
      <w14:ligatures w14:val="none"/>
    </w:rPr>
  </w:style>
  <w:style w:type="paragraph" w:styleId="Heading1">
    <w:name w:val="heading 1"/>
    <w:basedOn w:val="Normal"/>
    <w:next w:val="Normal"/>
    <w:link w:val="Heading1Char"/>
    <w:uiPriority w:val="9"/>
    <w:qFormat/>
    <w:rsid w:val="009E7A64"/>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9E7A64"/>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9E7A64"/>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9E7A64"/>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en-US"/>
      <w14:ligatures w14:val="standardContextual"/>
    </w:rPr>
  </w:style>
  <w:style w:type="paragraph" w:styleId="Heading5">
    <w:name w:val="heading 5"/>
    <w:basedOn w:val="Normal"/>
    <w:next w:val="Normal"/>
    <w:link w:val="Heading5Char"/>
    <w:uiPriority w:val="9"/>
    <w:semiHidden/>
    <w:unhideWhenUsed/>
    <w:qFormat/>
    <w:rsid w:val="009E7A64"/>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en-US"/>
      <w14:ligatures w14:val="standardContextual"/>
    </w:rPr>
  </w:style>
  <w:style w:type="paragraph" w:styleId="Heading6">
    <w:name w:val="heading 6"/>
    <w:basedOn w:val="Normal"/>
    <w:next w:val="Normal"/>
    <w:link w:val="Heading6Char"/>
    <w:uiPriority w:val="9"/>
    <w:semiHidden/>
    <w:unhideWhenUsed/>
    <w:qFormat/>
    <w:rsid w:val="009E7A64"/>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paragraph" w:styleId="Heading7">
    <w:name w:val="heading 7"/>
    <w:basedOn w:val="Normal"/>
    <w:next w:val="Normal"/>
    <w:link w:val="Heading7Char"/>
    <w:uiPriority w:val="9"/>
    <w:semiHidden/>
    <w:unhideWhenUsed/>
    <w:qFormat/>
    <w:rsid w:val="009E7A64"/>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val="en-GB" w:eastAsia="en-US"/>
      <w14:ligatures w14:val="standardContextual"/>
    </w:rPr>
  </w:style>
  <w:style w:type="paragraph" w:styleId="Heading8">
    <w:name w:val="heading 8"/>
    <w:basedOn w:val="Normal"/>
    <w:next w:val="Normal"/>
    <w:link w:val="Heading8Char"/>
    <w:uiPriority w:val="9"/>
    <w:semiHidden/>
    <w:unhideWhenUsed/>
    <w:qFormat/>
    <w:rsid w:val="009E7A64"/>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paragraph" w:styleId="Heading9">
    <w:name w:val="heading 9"/>
    <w:basedOn w:val="Normal"/>
    <w:next w:val="Normal"/>
    <w:link w:val="Heading9Char"/>
    <w:uiPriority w:val="9"/>
    <w:semiHidden/>
    <w:unhideWhenUsed/>
    <w:qFormat/>
    <w:rsid w:val="009E7A64"/>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A64"/>
    <w:rPr>
      <w:rFonts w:eastAsiaTheme="majorEastAsia" w:cstheme="majorBidi"/>
      <w:color w:val="272727" w:themeColor="text1" w:themeTint="D8"/>
    </w:rPr>
  </w:style>
  <w:style w:type="paragraph" w:styleId="Title">
    <w:name w:val="Title"/>
    <w:basedOn w:val="Normal"/>
    <w:next w:val="Normal"/>
    <w:link w:val="TitleChar"/>
    <w:uiPriority w:val="10"/>
    <w:qFormat/>
    <w:rsid w:val="009E7A64"/>
    <w:pPr>
      <w:suppressAutoHyphens w:val="0"/>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9E7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A64"/>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9E7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A64"/>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customStyle="1" w:styleId="QuoteChar">
    <w:name w:val="Quote Char"/>
    <w:basedOn w:val="DefaultParagraphFont"/>
    <w:link w:val="Quote"/>
    <w:uiPriority w:val="29"/>
    <w:rsid w:val="009E7A64"/>
    <w:rPr>
      <w:i/>
      <w:iCs/>
      <w:color w:val="404040" w:themeColor="text1" w:themeTint="BF"/>
    </w:rPr>
  </w:style>
  <w:style w:type="paragraph" w:styleId="ListParagraph">
    <w:name w:val="List Paragraph"/>
    <w:basedOn w:val="Normal"/>
    <w:uiPriority w:val="34"/>
    <w:qFormat/>
    <w:rsid w:val="009E7A64"/>
    <w:pPr>
      <w:suppressAutoHyphens w:val="0"/>
      <w:spacing w:after="160" w:line="278" w:lineRule="auto"/>
      <w:ind w:left="720"/>
      <w:contextualSpacing/>
    </w:pPr>
    <w:rPr>
      <w:rFonts w:asciiTheme="minorHAnsi" w:eastAsiaTheme="minorHAnsi" w:hAnsiTheme="minorHAnsi" w:cstheme="minorBidi"/>
      <w:kern w:val="2"/>
      <w:sz w:val="24"/>
      <w:szCs w:val="24"/>
      <w:lang w:val="en-GB" w:eastAsia="en-US"/>
      <w14:ligatures w14:val="standardContextual"/>
    </w:rPr>
  </w:style>
  <w:style w:type="character" w:styleId="IntenseEmphasis">
    <w:name w:val="Intense Emphasis"/>
    <w:basedOn w:val="DefaultParagraphFont"/>
    <w:uiPriority w:val="21"/>
    <w:qFormat/>
    <w:rsid w:val="009E7A64"/>
    <w:rPr>
      <w:i/>
      <w:iCs/>
      <w:color w:val="0F4761" w:themeColor="accent1" w:themeShade="BF"/>
    </w:rPr>
  </w:style>
  <w:style w:type="paragraph" w:styleId="IntenseQuote">
    <w:name w:val="Intense Quote"/>
    <w:basedOn w:val="Normal"/>
    <w:next w:val="Normal"/>
    <w:link w:val="IntenseQuoteChar"/>
    <w:uiPriority w:val="30"/>
    <w:qFormat/>
    <w:rsid w:val="009E7A64"/>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9E7A64"/>
    <w:rPr>
      <w:i/>
      <w:iCs/>
      <w:color w:val="0F4761" w:themeColor="accent1" w:themeShade="BF"/>
    </w:rPr>
  </w:style>
  <w:style w:type="character" w:styleId="IntenseReference">
    <w:name w:val="Intense Reference"/>
    <w:basedOn w:val="DefaultParagraphFont"/>
    <w:uiPriority w:val="32"/>
    <w:qFormat/>
    <w:rsid w:val="009E7A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AlinaN@APDM.SYN</dc:creator>
  <cp:keywords/>
  <dc:description/>
  <cp:lastModifiedBy>AlinaN@APDM.SYN</cp:lastModifiedBy>
  <cp:revision>1</cp:revision>
  <dcterms:created xsi:type="dcterms:W3CDTF">2025-12-08T11:10:00Z</dcterms:created>
  <dcterms:modified xsi:type="dcterms:W3CDTF">2025-12-08T11:10:00Z</dcterms:modified>
</cp:coreProperties>
</file>