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A7" w:rsidRDefault="00D82551" w:rsidP="00F369E7">
      <w:pPr>
        <w:ind w:right="-567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Anexa 1. La Contractul</w:t>
      </w:r>
      <w:r w:rsidR="00EC3CA7">
        <w:rPr>
          <w:rFonts w:ascii="Times New Roman" w:hAnsi="Times New Roman" w:cs="Times New Roman"/>
          <w:b/>
          <w:sz w:val="24"/>
          <w:szCs w:val="24"/>
        </w:rPr>
        <w:t xml:space="preserve"> de furnizare a energiei</w:t>
      </w:r>
      <w:r w:rsidR="002D6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CA7">
        <w:rPr>
          <w:rFonts w:ascii="Times New Roman" w:hAnsi="Times New Roman" w:cs="Times New Roman"/>
          <w:b/>
          <w:sz w:val="24"/>
          <w:szCs w:val="24"/>
        </w:rPr>
        <w:t xml:space="preserve">electrice nr.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</w:p>
    <w:p w:rsidR="00EC3CA7" w:rsidRDefault="00EC3CA7" w:rsidP="00EC3CA7">
      <w:pPr>
        <w:ind w:right="-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2"/>
        </w:rPr>
        <w:t>DEFINIŢII ŞI REGULI DE INTERPRETARE A CONTRACTULUI</w:t>
      </w:r>
    </w:p>
    <w:p w:rsidR="00EC3CA7" w:rsidRDefault="00EC3CA7" w:rsidP="00F369E7">
      <w:pPr>
        <w:pStyle w:val="Heading1"/>
        <w:numPr>
          <w:ilvl w:val="0"/>
          <w:numId w:val="0"/>
        </w:numPr>
        <w:tabs>
          <w:tab w:val="left" w:pos="284"/>
        </w:tabs>
        <w:ind w:left="567" w:right="-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Definiţii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240"/>
        <w:gridCol w:w="8079"/>
      </w:tblGrid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A.N.R.E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Autoritatea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Reglementare în domeniul Energiei;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0" w:line="240" w:lineRule="auto"/>
              <w:ind w:right="-56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Avizul Tehnic de Racordare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Avizul scris, valabil numai pentru un anumit amplasament, care se emite de către operatorul de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re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>ea la cererea unui consumator, asupra posibilită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 xml:space="preserve">ilor </w:t>
            </w:r>
            <w:r>
              <w:rPr>
                <w:rFonts w:ascii="Tahoma" w:hAnsi="Tahoma" w:cs="Tahoma"/>
                <w:szCs w:val="20"/>
              </w:rPr>
              <w:t>ș</w:t>
            </w:r>
            <w:r>
              <w:rPr>
                <w:rFonts w:ascii="Times New Roman" w:hAnsi="Times New Roman" w:cs="Times New Roman"/>
                <w:szCs w:val="20"/>
              </w:rPr>
              <w:t>i condi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>iilor de racordare la re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>eaua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electrică, în vederea satisfacerii cerin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>elor consumatorului, prevăzute la solicitarea avizului.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Certificat Verde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Titlul ce atestă producerea din surse regenerabile de energie a unei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cantităţi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energie electrică;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Client final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Orice persoana fizica sau juridica ce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cumpara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energie electrica pentru consumul propriu; in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cuprinsul Contractului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notiunile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‚Client final” si „Consumator” sunt echivalente;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 (final)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noncasnic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Clientul final care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cumpara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energie electrica pentru uzul propriu, altul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decat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cel casnic; in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aceasta categorie intra si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producatori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furnizori sau operatori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retea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cumpara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energie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electrica pentru consumul propriu;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noncasnic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mic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noncasnic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pentru care puterea aprobata prin avizul tehnic de racordare este mai mica sau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egala cu 100kW;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noncasnic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mare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Client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noncasnic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pentru care puterea aprobata prin avizul tehnic de racordare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depaseste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100Kw;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Contract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retea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Contract pentru prestarea serviciului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energiei electrice si/sau contract pentru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prestarea serviciului de transport;</w:t>
            </w:r>
          </w:p>
        </w:tc>
      </w:tr>
      <w:tr w:rsidR="00EC3CA7" w:rsidTr="00F369E7">
        <w:trPr>
          <w:trHeight w:val="1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Contract la distanta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Contractul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incheiat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intre Furnizor si Consumator in cadrul unui sistem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vanzari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la distanta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organizat,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fara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prezenta fizica simultana a Furnizorului si Consumatorului, cu utilizarea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exclusiva a unuia sau mai multor mijloace de comunicare la distanta, pana la si inclusiv in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momentul in care este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incheiat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Contractul. 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Furnizor actual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furnizorul care prestează serviciul de furnizare a energiei electrice până la data finalizării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procesului de schimbare a furnizorului;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Furnizor nou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furnizorul care va presta serviciul de furnizare a energiei electrice pentru clientul final, pe baza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unui nou contract de furnizare, a cărui derulare începe de la data finalizării procesului de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schimbare a furnizorului, dată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menţionată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în contract;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Furnizor de Ultima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Instanta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(FUI)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Furnizorul desemnat de Autoritatea Competenta pentru a presta serviciul universal de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furnizare in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specifice reglementate;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Grup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masurare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Ansamblul format din contor si transformatoarele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masurare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aferente acestuia, precum si toate elementele intermediare care constituie circuitele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masurare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energiei electrice, inclusiv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elementele de securizare;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Impreviziune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Notiune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reglementata în paragraful 9.1 din Contract;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Legea Aplicabilă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Orice lege,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ordonanţă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ordonanţă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urgenţă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hotărâre adoptată de Parlamentul României sau,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după caz, de Guvernul României, orice ordine, decizii, norme, reglementări, avize emise de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A.N.R.E, orice reglementări sau proceduri ale operatorilor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pieţei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energie electrică, precum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orice alte acte normative emise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autorităţi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publice care au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relevanţă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pentru derularea Contractului; 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Lună Contractuală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D82551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....................................................</w:t>
            </w:r>
            <w:r w:rsidR="00EC3CA7">
              <w:rPr>
                <w:rFonts w:ascii="Times New Roman" w:hAnsi="Times New Roman" w:cs="Times New Roman"/>
                <w:szCs w:val="20"/>
              </w:rPr>
              <w:t xml:space="preserve"> calendaristică;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Loc de consum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incinta sau zona în care sunt amplasate instala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 xml:space="preserve">iile de utilizare ale unui Consumator,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inclusiv ale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subconsumatorilor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săi, unde se consumă energie electrică furnizată prin una sau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mai multe instala</w:t>
            </w:r>
            <w:r>
              <w:rPr>
                <w:rFonts w:ascii="Tahoma" w:hAnsi="Tahoma" w:cs="Tahoma"/>
                <w:szCs w:val="20"/>
              </w:rPr>
              <w:t>ț</w:t>
            </w:r>
            <w:r>
              <w:rPr>
                <w:rFonts w:ascii="Times New Roman" w:hAnsi="Times New Roman" w:cs="Times New Roman"/>
                <w:szCs w:val="20"/>
              </w:rPr>
              <w:t>ii de racordare. Un Consumator poate avea unul sau mai multe locuri de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consum al energiei electrice;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Operator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Distribuţie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Persoana juridică, titulară a unei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licenţe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distribuţie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care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deţine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exploatează,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întreţine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modernizează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dezvoltă 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reţea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electrică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distribuţie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Operatorul de Transport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Sistem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Persoana juridică, titulară a unei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licenţe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pentru transportul energiei electrice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servicii de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sistem, care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deţine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 exploatează,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întreţine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modernizează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dezvoltă 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reţea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electrică de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transport;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Partea Responsabila cu Echilibrarea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este o structură virtuală compusa din mai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participanti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energie electrica ce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urmareste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optimizarea costurilor rezultate din abaterile de la consumul  de energie electrica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prognozat al consumatorilor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deserviti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Aceasta structura este folosita pentru a “echilibra”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diferentele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dintre energia electrica prognozata si  energia electrica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masurata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la nivelul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intregului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contur al acesteia;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Reprezentant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Oricare dintre administratorii, directorii,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angajaţii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acţionarii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asociaţii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afiliaţii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sau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consultanţii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profesionali ai fiecărei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Părţi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inclusiv, dar fără a se limita la,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consultanţii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financiari,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legali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tehnici;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SEN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Sistemul electroenergetic situat pe teritoriul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; constituie infrastructura de bază utilizată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În  comun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participanţii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piaţa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 energie electrică;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Schimbarea furnizorului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Procesul prin care, pe parcursul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derularii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unui contract de furnizare a energiei electrice, clientul final decide prin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optiune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liber exprimata sa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inceteze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raportul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contractualcu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furnizorul actual si sa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incheie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un contract de furnizare a energiei electrice cu n furnizor nou,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reprezentand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totalitatea </w:t>
            </w:r>
          </w:p>
          <w:p w:rsidR="00EC3CA7" w:rsidRDefault="00EC3CA7">
            <w:p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etapelor parcurse in acest sens;</w:t>
            </w:r>
          </w:p>
        </w:tc>
      </w:tr>
      <w:tr w:rsidR="00EC3CA7" w:rsidTr="00EC3CA7">
        <w:trPr>
          <w:trHeight w:val="199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F369E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Standardul de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Performanta</w:t>
            </w:r>
          </w:p>
          <w:p w:rsidR="00F369E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pentru serviciul de </w:t>
            </w:r>
          </w:p>
          <w:p w:rsidR="00F369E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furnizare a energiei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electrice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Standardul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performanţă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reglementează calitatea serviciului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stabileşte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indicatorii de </w:t>
            </w:r>
          </w:p>
          <w:p w:rsidR="00EC3CA7" w:rsidRDefault="00EC3CA7">
            <w:pPr>
              <w:autoSpaceDE w:val="0"/>
              <w:autoSpaceDN w:val="0"/>
              <w:adjustRightInd w:val="0"/>
              <w:spacing w:before="120"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performanţă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în asigurarea acestuia, privind:</w:t>
            </w:r>
          </w:p>
          <w:p w:rsidR="00EC3CA7" w:rsidRDefault="00EC3CA7" w:rsidP="001E70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continuitatea alimentării</w:t>
            </w:r>
            <w:r>
              <w:rPr>
                <w:rFonts w:ascii="Times New Roman" w:hAnsi="Times New Roman" w:cs="Times New Roman"/>
                <w:szCs w:val="20"/>
              </w:rPr>
              <w:t xml:space="preserve"> cu energie electrică 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clienţilor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:rsidR="00EC3CA7" w:rsidRDefault="00EC3CA7" w:rsidP="001E70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calitatea tehnică </w:t>
            </w:r>
            <w:r>
              <w:rPr>
                <w:rFonts w:ascii="Times New Roman" w:hAnsi="Times New Roman" w:cs="Times New Roman"/>
                <w:szCs w:val="20"/>
              </w:rPr>
              <w:t>a energiei electrice distribuite;</w:t>
            </w:r>
          </w:p>
          <w:p w:rsidR="00EC3CA7" w:rsidRDefault="00EC3CA7" w:rsidP="001E70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calitatea comercială</w:t>
            </w:r>
            <w:r>
              <w:rPr>
                <w:rFonts w:ascii="Times New Roman" w:hAnsi="Times New Roman" w:cs="Times New Roman"/>
                <w:szCs w:val="20"/>
              </w:rPr>
              <w:t xml:space="preserve"> a energiei electrice distribuite;</w:t>
            </w:r>
          </w:p>
        </w:tc>
      </w:tr>
      <w:tr w:rsidR="00EC3CA7" w:rsidTr="00EC3CA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Zi Lucrătoare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Orice zi (cu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zilelor de sâmbătă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duminică precum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sărbătorilor legale) în care </w:t>
            </w:r>
          </w:p>
          <w:p w:rsidR="00EC3CA7" w:rsidRDefault="00EC3CA7">
            <w:pPr>
              <w:keepLines/>
              <w:tabs>
                <w:tab w:val="left" w:pos="170"/>
              </w:tabs>
              <w:spacing w:after="100" w:afterAutospacing="1" w:line="240" w:lineRule="auto"/>
              <w:ind w:right="-567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băncile comerciale sunt deschise pentru lucrul cu publicul în România;</w:t>
            </w:r>
          </w:p>
        </w:tc>
      </w:tr>
    </w:tbl>
    <w:p w:rsidR="00EC3CA7" w:rsidRDefault="00EC3CA7" w:rsidP="00F369E7">
      <w:pPr>
        <w:pStyle w:val="Heading1"/>
        <w:numPr>
          <w:ilvl w:val="0"/>
          <w:numId w:val="0"/>
        </w:numPr>
        <w:tabs>
          <w:tab w:val="left" w:pos="284"/>
        </w:tabs>
        <w:spacing w:after="100" w:afterAutospacing="1" w:line="240" w:lineRule="auto"/>
        <w:ind w:left="567" w:right="-567" w:hanging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Reguli de interpretare</w:t>
      </w:r>
    </w:p>
    <w:p w:rsidR="00EC3CA7" w:rsidRDefault="00EC3CA7" w:rsidP="00EC3CA7">
      <w:pPr>
        <w:pStyle w:val="Heading2"/>
        <w:numPr>
          <w:ilvl w:val="0"/>
          <w:numId w:val="0"/>
        </w:numPr>
        <w:tabs>
          <w:tab w:val="left" w:pos="708"/>
        </w:tabs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Dacă nu reiese altfel din contextul Contractului, următoarele reguli de interpretare se vor aplica prezentului Contract:</w:t>
      </w:r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termenii care desemnează singularul vor include pluralul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  <w:r>
        <w:rPr>
          <w:rFonts w:ascii="Times New Roman" w:hAnsi="Times New Roman" w:cs="Times New Roman"/>
          <w:szCs w:val="20"/>
        </w:rPr>
        <w:t xml:space="preserve"> invers, iar trimiterile la o persoană vor include succesorii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  <w:r>
        <w:rPr>
          <w:rFonts w:ascii="Times New Roman" w:hAnsi="Times New Roman" w:cs="Times New Roman"/>
          <w:szCs w:val="20"/>
        </w:rPr>
        <w:t xml:space="preserve"> cesionarii </w:t>
      </w:r>
      <w:proofErr w:type="spellStart"/>
      <w:r>
        <w:rPr>
          <w:rFonts w:ascii="Times New Roman" w:hAnsi="Times New Roman" w:cs="Times New Roman"/>
          <w:szCs w:val="20"/>
        </w:rPr>
        <w:t>permişi</w:t>
      </w:r>
      <w:proofErr w:type="spellEnd"/>
      <w:r>
        <w:rPr>
          <w:rFonts w:ascii="Times New Roman" w:hAnsi="Times New Roman" w:cs="Times New Roman"/>
          <w:szCs w:val="20"/>
        </w:rPr>
        <w:t xml:space="preserve"> ai acesteia;</w:t>
      </w:r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termenii „în prezentul Contract”, „prin prezentul Contract”, „la prezentul Contract” “din prezentul Contract”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alţi</w:t>
      </w:r>
      <w:proofErr w:type="spellEnd"/>
      <w:r>
        <w:rPr>
          <w:rFonts w:ascii="Times New Roman" w:hAnsi="Times New Roman" w:cs="Times New Roman"/>
          <w:szCs w:val="20"/>
        </w:rPr>
        <w:t xml:space="preserve"> termeni similari se referă la prezentul Contract în integralitatea sa,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  <w:r>
        <w:rPr>
          <w:rFonts w:ascii="Times New Roman" w:hAnsi="Times New Roman" w:cs="Times New Roman"/>
          <w:szCs w:val="20"/>
        </w:rPr>
        <w:t xml:space="preserve"> nu la o anumită subdiviziune a acestuia;</w:t>
      </w:r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 referire la un anumit Articol sau la o anumită anexă constituie o referire la un Articol sau o Anexă din prezentul Contract. O referire la orice acord, contract, înscris sau alt document va include orice amendament, reformulare, completare sau altă modificare a acestuia;</w:t>
      </w:r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titlurile au numai rol orientativ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  <w:r>
        <w:rPr>
          <w:rFonts w:ascii="Times New Roman" w:hAnsi="Times New Roman" w:cs="Times New Roman"/>
          <w:szCs w:val="20"/>
        </w:rPr>
        <w:t xml:space="preserve"> se va considera că nu modifică sau afectează vreo prevedere a prezentului Contract;</w:t>
      </w:r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ori de câte ori prezentul Contract face referire la un număr de zile, numărul respectiv se va referi la zile calendaristice, dacă nu se specifică faptul că sunt Zile Lucrătoare; </w:t>
      </w:r>
      <w:proofErr w:type="spellStart"/>
      <w:r>
        <w:rPr>
          <w:rFonts w:ascii="Times New Roman" w:hAnsi="Times New Roman" w:cs="Times New Roman"/>
          <w:szCs w:val="20"/>
        </w:rPr>
        <w:t>şi</w:t>
      </w:r>
      <w:proofErr w:type="spellEnd"/>
    </w:p>
    <w:p w:rsidR="00EC3CA7" w:rsidRDefault="00EC3CA7" w:rsidP="00EC3CA7">
      <w:pPr>
        <w:pStyle w:val="Heading3"/>
        <w:spacing w:after="100" w:afterAutospacing="1" w:line="240" w:lineRule="auto"/>
        <w:ind w:right="-567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termenul „include” va fi interpretat în sens nelimitativ.</w:t>
      </w:r>
    </w:p>
    <w:p w:rsidR="00EC3CA7" w:rsidRDefault="00EC3CA7" w:rsidP="00EC3CA7">
      <w:pPr>
        <w:pStyle w:val="Heading9"/>
        <w:rPr>
          <w:lang w:val="nl-NL"/>
        </w:rPr>
      </w:pPr>
    </w:p>
    <w:p w:rsidR="00F369E7" w:rsidRDefault="00EC3CA7" w:rsidP="00F369E7">
      <w:pPr>
        <w:pStyle w:val="Heading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nl-NL"/>
        </w:rPr>
        <w:t xml:space="preserve">           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537"/>
        <w:gridCol w:w="5102"/>
      </w:tblGrid>
      <w:tr w:rsidR="00F369E7" w:rsidRPr="00171090" w:rsidTr="00F369E7">
        <w:tc>
          <w:tcPr>
            <w:tcW w:w="4537" w:type="dxa"/>
          </w:tcPr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Consumator,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MUNICIPIUL SFÂNTU GHEORGHE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Antal Árpád-András -  Primar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F369E7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F369E7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Veress Ildikó – Director General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F369E7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Vizat Juridic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02" w:type="dxa"/>
          </w:tcPr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Furnizor,</w:t>
            </w:r>
          </w:p>
          <w:p w:rsidR="00F369E7" w:rsidRPr="00171090" w:rsidRDefault="00F369E7" w:rsidP="009A15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</w:t>
            </w: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F369E7" w:rsidRPr="00171090" w:rsidRDefault="00F369E7" w:rsidP="00F36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EC3CA7" w:rsidRDefault="00EC3CA7" w:rsidP="00F369E7">
      <w:pPr>
        <w:pStyle w:val="Heading9"/>
        <w:spacing w:line="240" w:lineRule="auto"/>
        <w:rPr>
          <w:rFonts w:ascii="Times New Roman" w:hAnsi="Times New Roman" w:cs="Times New Roman"/>
          <w:b/>
        </w:rPr>
      </w:pPr>
    </w:p>
    <w:p w:rsidR="005F68D5" w:rsidRPr="00F369E7" w:rsidRDefault="00EC3CA7" w:rsidP="00F369E7">
      <w:pPr>
        <w:pStyle w:val="Heading9"/>
        <w:rPr>
          <w:rFonts w:cs="Times New Roman"/>
          <w:b/>
          <w:lang w:val="hu-HU"/>
        </w:rPr>
      </w:pPr>
      <w:r>
        <w:rPr>
          <w:b/>
        </w:rPr>
        <w:t xml:space="preserve"> </w:t>
      </w:r>
      <w:r w:rsidRPr="00F369E7">
        <w:rPr>
          <w:rFonts w:ascii="Times New Roman" w:hAnsi="Times New Roman"/>
          <w:sz w:val="22"/>
          <w:lang w:val="pt-BR"/>
        </w:rPr>
        <w:tab/>
      </w:r>
      <w:r w:rsidRPr="00F369E7">
        <w:rPr>
          <w:rFonts w:ascii="Times New Roman" w:hAnsi="Times New Roman"/>
          <w:sz w:val="22"/>
          <w:lang w:val="pt-BR"/>
        </w:rPr>
        <w:tab/>
      </w:r>
      <w:r w:rsidRPr="00F369E7">
        <w:rPr>
          <w:rFonts w:ascii="Times New Roman" w:hAnsi="Times New Roman"/>
          <w:sz w:val="22"/>
          <w:lang w:val="pt-BR"/>
        </w:rPr>
        <w:tab/>
      </w:r>
      <w:r w:rsidRPr="00F369E7">
        <w:rPr>
          <w:rFonts w:ascii="Times New Roman" w:hAnsi="Times New Roman"/>
          <w:sz w:val="22"/>
          <w:lang w:val="pt-BR"/>
        </w:rPr>
        <w:tab/>
      </w:r>
      <w:r w:rsidRPr="00F369E7">
        <w:rPr>
          <w:rFonts w:ascii="Times New Roman" w:hAnsi="Times New Roman"/>
          <w:sz w:val="22"/>
          <w:lang w:val="pt-BR"/>
        </w:rPr>
        <w:tab/>
      </w:r>
    </w:p>
    <w:sectPr w:rsidR="005F68D5" w:rsidRPr="00F369E7" w:rsidSect="00F369E7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16" w:rsidRDefault="00FA5216" w:rsidP="00F369E7">
      <w:pPr>
        <w:spacing w:after="0" w:line="240" w:lineRule="auto"/>
      </w:pPr>
      <w:r>
        <w:separator/>
      </w:r>
    </w:p>
  </w:endnote>
  <w:endnote w:type="continuationSeparator" w:id="0">
    <w:p w:rsidR="00FA5216" w:rsidRDefault="00FA5216" w:rsidP="00F3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00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69E7" w:rsidRDefault="00F36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5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69E7" w:rsidRDefault="00F36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16" w:rsidRDefault="00FA5216" w:rsidP="00F369E7">
      <w:pPr>
        <w:spacing w:after="0" w:line="240" w:lineRule="auto"/>
      </w:pPr>
      <w:r>
        <w:separator/>
      </w:r>
    </w:p>
  </w:footnote>
  <w:footnote w:type="continuationSeparator" w:id="0">
    <w:p w:rsidR="00FA5216" w:rsidRDefault="00FA5216" w:rsidP="00F36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1F29"/>
    <w:multiLevelType w:val="multilevel"/>
    <w:tmpl w:val="62C23D3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701"/>
        </w:tabs>
        <w:ind w:left="1701" w:hanging="567"/>
      </w:pPr>
      <w:rPr>
        <w:rFonts w:ascii="Frutiger Linotype" w:hAnsi="Frutiger Linotype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Frutiger Linotype" w:hAnsi="Frutiger Linotype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bullet"/>
      <w:pStyle w:val="Heading6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:specVanish w:val="0"/>
      </w:rPr>
    </w:lvl>
    <w:lvl w:ilvl="6">
      <w:start w:val="1"/>
      <w:numFmt w:val="bullet"/>
      <w:pStyle w:val="Heading7"/>
      <w:lvlText w:val="o"/>
      <w:lvlJc w:val="left"/>
      <w:pPr>
        <w:tabs>
          <w:tab w:val="num" w:pos="2835"/>
        </w:tabs>
        <w:ind w:left="3402" w:hanging="567"/>
      </w:pPr>
      <w:rPr>
        <w:rFonts w:ascii="Courier New" w:hAnsi="Courier New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:specVanish w:val="0"/>
      </w:rPr>
    </w:lvl>
    <w:lvl w:ilvl="7">
      <w:start w:val="1"/>
      <w:numFmt w:val="none"/>
      <w:pStyle w:val="Heading8"/>
      <w:suff w:val="nothing"/>
      <w:lvlText w:val=""/>
      <w:lvlJc w:val="left"/>
      <w:pPr>
        <w:ind w:left="567" w:hanging="567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567" w:hanging="567"/>
      </w:pPr>
      <w:rPr>
        <w:rFonts w:cs="Times New Roman"/>
      </w:rPr>
    </w:lvl>
  </w:abstractNum>
  <w:abstractNum w:abstractNumId="1" w15:restartNumberingAfterBreak="0">
    <w:nsid w:val="4EFC4C9F"/>
    <w:multiLevelType w:val="multilevel"/>
    <w:tmpl w:val="686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A7"/>
    <w:rsid w:val="0018756A"/>
    <w:rsid w:val="002D65EA"/>
    <w:rsid w:val="003E6825"/>
    <w:rsid w:val="005F55D1"/>
    <w:rsid w:val="005F68D5"/>
    <w:rsid w:val="00620F14"/>
    <w:rsid w:val="00641EC5"/>
    <w:rsid w:val="009A157C"/>
    <w:rsid w:val="00AC3515"/>
    <w:rsid w:val="00B70559"/>
    <w:rsid w:val="00D82551"/>
    <w:rsid w:val="00EC3CA7"/>
    <w:rsid w:val="00F369E7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083EB-16C1-4C14-B559-9A49927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CA7"/>
    <w:pPr>
      <w:spacing w:after="120" w:line="320" w:lineRule="exact"/>
      <w:jc w:val="both"/>
    </w:pPr>
    <w:rPr>
      <w:rFonts w:ascii="Frutiger Linotype" w:eastAsia="Calibri" w:hAnsi="Frutiger Linotype" w:cs="Arial"/>
      <w:sz w:val="20"/>
    </w:rPr>
  </w:style>
  <w:style w:type="paragraph" w:styleId="Heading1">
    <w:name w:val="heading 1"/>
    <w:basedOn w:val="Normal"/>
    <w:next w:val="Heading2"/>
    <w:link w:val="Heading1Char"/>
    <w:qFormat/>
    <w:rsid w:val="00EC3CA7"/>
    <w:pPr>
      <w:keepNext/>
      <w:numPr>
        <w:numId w:val="1"/>
      </w:numPr>
      <w:spacing w:before="360"/>
      <w:outlineLvl w:val="0"/>
    </w:pPr>
    <w:rPr>
      <w:b/>
      <w:kern w:val="32"/>
      <w:sz w:val="24"/>
      <w:szCs w:val="24"/>
      <w:lang w:bidi="ne-NP"/>
    </w:rPr>
  </w:style>
  <w:style w:type="paragraph" w:styleId="Heading2">
    <w:name w:val="heading 2"/>
    <w:aliases w:val="Paragraafkop Car,Char,h2,h2 main heading,H2,Section,2m,h 2,B Sub/Bold,B Sub/Bold1,B Sub/Bold2,B Sub/Bold11,h2 main heading1,h2 main heading2,B Sub/Bold3,B Sub/Bold12,h2 main heading3,B Sub/Bold4,B Sub/Bold13,body,h2.H2,Para2,SubPara"/>
    <w:basedOn w:val="Normal"/>
    <w:link w:val="Heading2Char"/>
    <w:semiHidden/>
    <w:unhideWhenUsed/>
    <w:qFormat/>
    <w:rsid w:val="00EC3CA7"/>
    <w:pPr>
      <w:numPr>
        <w:ilvl w:val="1"/>
        <w:numId w:val="1"/>
      </w:numPr>
      <w:outlineLvl w:val="1"/>
    </w:pPr>
    <w:rPr>
      <w:iCs/>
      <w:color w:val="262626"/>
      <w:szCs w:val="24"/>
      <w:lang w:bidi="ne-NP"/>
    </w:rPr>
  </w:style>
  <w:style w:type="paragraph" w:styleId="Heading3">
    <w:name w:val="heading 3"/>
    <w:basedOn w:val="Normal"/>
    <w:link w:val="Heading3Char"/>
    <w:semiHidden/>
    <w:unhideWhenUsed/>
    <w:qFormat/>
    <w:rsid w:val="00EC3CA7"/>
    <w:pPr>
      <w:numPr>
        <w:ilvl w:val="2"/>
        <w:numId w:val="1"/>
      </w:numPr>
      <w:outlineLvl w:val="2"/>
    </w:pPr>
    <w:rPr>
      <w:lang w:bidi="ne-NP"/>
    </w:rPr>
  </w:style>
  <w:style w:type="paragraph" w:styleId="Heading4">
    <w:name w:val="heading 4"/>
    <w:basedOn w:val="Normal"/>
    <w:link w:val="Heading4Char"/>
    <w:semiHidden/>
    <w:unhideWhenUsed/>
    <w:qFormat/>
    <w:rsid w:val="00EC3CA7"/>
    <w:pPr>
      <w:numPr>
        <w:ilvl w:val="3"/>
        <w:numId w:val="1"/>
      </w:numPr>
      <w:outlineLvl w:val="3"/>
    </w:pPr>
    <w:rPr>
      <w:lang w:bidi="ne-NP"/>
    </w:rPr>
  </w:style>
  <w:style w:type="paragraph" w:styleId="Heading5">
    <w:name w:val="heading 5"/>
    <w:basedOn w:val="Normal"/>
    <w:link w:val="Heading5Char"/>
    <w:semiHidden/>
    <w:unhideWhenUsed/>
    <w:qFormat/>
    <w:rsid w:val="00EC3CA7"/>
    <w:pPr>
      <w:numPr>
        <w:ilvl w:val="4"/>
        <w:numId w:val="1"/>
      </w:numPr>
      <w:outlineLvl w:val="4"/>
    </w:pPr>
    <w:rPr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3CA7"/>
    <w:pPr>
      <w:numPr>
        <w:ilvl w:val="5"/>
        <w:numId w:val="1"/>
      </w:numPr>
      <w:contextualSpacing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3CA7"/>
    <w:pPr>
      <w:numPr>
        <w:ilvl w:val="6"/>
        <w:numId w:val="1"/>
      </w:numPr>
      <w:contextualSpacing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3CA7"/>
    <w:pPr>
      <w:numPr>
        <w:ilvl w:val="7"/>
        <w:numId w:val="1"/>
      </w:numPr>
      <w:contextualSpacing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EC3CA7"/>
    <w:pPr>
      <w:numPr>
        <w:ilvl w:val="8"/>
        <w:numId w:val="1"/>
      </w:numPr>
      <w:contextualSpacing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CA7"/>
    <w:rPr>
      <w:rFonts w:ascii="Frutiger Linotype" w:eastAsia="Calibri" w:hAnsi="Frutiger Linotype" w:cs="Arial"/>
      <w:b/>
      <w:kern w:val="32"/>
      <w:sz w:val="24"/>
      <w:szCs w:val="24"/>
      <w:lang w:bidi="ne-NP"/>
    </w:rPr>
  </w:style>
  <w:style w:type="character" w:customStyle="1" w:styleId="Heading2Char">
    <w:name w:val="Heading 2 Char"/>
    <w:aliases w:val="Paragraafkop Car Char,Char Char,h2 Char,h2 main heading Char,H2 Char,Section Char,2m Char,h 2 Char,B Sub/Bold Char,B Sub/Bold1 Char,B Sub/Bold2 Char,B Sub/Bold11 Char,h2 main heading1 Char,h2 main heading2 Char,B Sub/Bold3 Char,body Char"/>
    <w:basedOn w:val="DefaultParagraphFont"/>
    <w:link w:val="Heading2"/>
    <w:semiHidden/>
    <w:rsid w:val="00EC3CA7"/>
    <w:rPr>
      <w:rFonts w:ascii="Frutiger Linotype" w:eastAsia="Calibri" w:hAnsi="Frutiger Linotype" w:cs="Arial"/>
      <w:iCs/>
      <w:color w:val="262626"/>
      <w:sz w:val="20"/>
      <w:szCs w:val="24"/>
      <w:lang w:bidi="ne-NP"/>
    </w:rPr>
  </w:style>
  <w:style w:type="character" w:customStyle="1" w:styleId="Heading3Char">
    <w:name w:val="Heading 3 Char"/>
    <w:basedOn w:val="DefaultParagraphFont"/>
    <w:link w:val="Heading3"/>
    <w:semiHidden/>
    <w:rsid w:val="00EC3CA7"/>
    <w:rPr>
      <w:rFonts w:ascii="Frutiger Linotype" w:eastAsia="Calibri" w:hAnsi="Frutiger Linotype" w:cs="Arial"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semiHidden/>
    <w:rsid w:val="00EC3CA7"/>
    <w:rPr>
      <w:rFonts w:ascii="Frutiger Linotype" w:eastAsia="Calibri" w:hAnsi="Frutiger Linotype" w:cs="Arial"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semiHidden/>
    <w:rsid w:val="00EC3CA7"/>
    <w:rPr>
      <w:rFonts w:ascii="Frutiger Linotype" w:eastAsia="Calibri" w:hAnsi="Frutiger Linotype" w:cs="Arial"/>
      <w:iCs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C3CA7"/>
    <w:rPr>
      <w:rFonts w:ascii="Frutiger Linotype" w:eastAsia="Calibri" w:hAnsi="Frutiger Linotype" w:cs="Arial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C3CA7"/>
    <w:rPr>
      <w:rFonts w:ascii="Frutiger Linotype" w:eastAsia="Calibri" w:hAnsi="Frutiger Linotype" w:cs="Arial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C3CA7"/>
    <w:rPr>
      <w:rFonts w:ascii="Frutiger Linotype" w:eastAsia="Calibri" w:hAnsi="Frutiger Linotype" w:cs="Arial"/>
      <w:i/>
      <w:iCs/>
      <w:sz w:val="20"/>
    </w:rPr>
  </w:style>
  <w:style w:type="character" w:customStyle="1" w:styleId="Heading9Char">
    <w:name w:val="Heading 9 Char"/>
    <w:basedOn w:val="DefaultParagraphFont"/>
    <w:link w:val="Heading9"/>
    <w:rsid w:val="00EC3CA7"/>
    <w:rPr>
      <w:rFonts w:ascii="Frutiger Linotype" w:eastAsia="Calibri" w:hAnsi="Frutiger Linotype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3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E7"/>
    <w:rPr>
      <w:rFonts w:ascii="Frutiger Linotype" w:eastAsia="Calibri" w:hAnsi="Frutiger Linotype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E7"/>
    <w:rPr>
      <w:rFonts w:ascii="Frutiger Linotype" w:eastAsia="Calibri" w:hAnsi="Frutiger Linotype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User</cp:lastModifiedBy>
  <cp:revision>2</cp:revision>
  <dcterms:created xsi:type="dcterms:W3CDTF">2023-11-09T13:57:00Z</dcterms:created>
  <dcterms:modified xsi:type="dcterms:W3CDTF">2023-11-09T13:57:00Z</dcterms:modified>
</cp:coreProperties>
</file>