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CD1" w:rsidRPr="00017497" w:rsidRDefault="006850AE">
      <w:pPr>
        <w:pStyle w:val="Default"/>
        <w:jc w:val="both"/>
        <w:rPr>
          <w:rFonts w:ascii="Trebuchet MS" w:hAnsi="Trebuchet MS"/>
          <w:color w:val="auto"/>
          <w:sz w:val="22"/>
          <w:szCs w:val="22"/>
          <w:u w:val="single"/>
        </w:rPr>
      </w:pPr>
      <w:r w:rsidRPr="00017497">
        <w:rPr>
          <w:rFonts w:ascii="Trebuchet MS" w:hAnsi="Trebuchet MS"/>
          <w:b/>
          <w:bCs/>
          <w:color w:val="auto"/>
          <w:sz w:val="22"/>
          <w:szCs w:val="22"/>
          <w:u w:val="single"/>
        </w:rPr>
        <w:t>Anexa 1</w:t>
      </w:r>
      <w:r w:rsidRPr="00017497">
        <w:rPr>
          <w:rFonts w:ascii="Trebuchet MS" w:hAnsi="Trebuchet MS"/>
          <w:color w:val="auto"/>
          <w:sz w:val="22"/>
          <w:szCs w:val="22"/>
          <w:u w:val="single"/>
        </w:rPr>
        <w:t xml:space="preserve"> - CONDIȚII SPE</w:t>
      </w:r>
      <w:r w:rsidRPr="00017497">
        <w:rPr>
          <w:rFonts w:ascii="Trebuchet MS" w:hAnsi="Trebuchet MS"/>
          <w:color w:val="auto"/>
          <w:sz w:val="22"/>
          <w:szCs w:val="22"/>
          <w:u w:val="single"/>
        </w:rPr>
        <w:t>CIFICE LEGATE DE PRINCIPIUL DNSH</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Obiectivul respectării condițiilor specifice este de a facilita și de a spori la maximum valorificarea materialelor și a componentelor rezultate din demolarea, renovarea sau consolidarea clădirilor și a infrastructurilor î</w:t>
      </w:r>
      <w:r w:rsidRPr="00017497">
        <w:rPr>
          <w:rFonts w:ascii="Trebuchet MS" w:hAnsi="Trebuchet MS"/>
          <w:color w:val="auto"/>
          <w:sz w:val="22"/>
          <w:szCs w:val="22"/>
        </w:rPr>
        <w:t>n vederea unei reutilizări și a unei reciclări benefice, fără a compromite măsurile de siguranță și practicile descrise în Protocolul european privind demolările ce prevede că:</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spacing w:after="89"/>
        <w:jc w:val="both"/>
        <w:rPr>
          <w:rFonts w:ascii="Trebuchet MS" w:hAnsi="Trebuchet MS"/>
          <w:color w:val="auto"/>
          <w:sz w:val="22"/>
          <w:szCs w:val="22"/>
        </w:rPr>
      </w:pPr>
      <w:r w:rsidRPr="00017497">
        <w:rPr>
          <w:rFonts w:ascii="Trebuchet MS" w:hAnsi="Trebuchet MS"/>
          <w:color w:val="auto"/>
          <w:sz w:val="22"/>
          <w:szCs w:val="22"/>
        </w:rPr>
        <w:t xml:space="preserve">- Orice proiect de demolare, renovare, consolidare sau construcție trebuie să </w:t>
      </w:r>
      <w:r w:rsidRPr="00017497">
        <w:rPr>
          <w:rFonts w:ascii="Trebuchet MS" w:hAnsi="Trebuchet MS"/>
          <w:color w:val="auto"/>
          <w:sz w:val="22"/>
          <w:szCs w:val="22"/>
        </w:rPr>
        <w:t xml:space="preserve">fie bine planificat și gestionat pentru a reduce impactul asupra mediului și a sănătății și, în același timp, să ofere beneficii importante din punctul de vedere al costurilor. </w:t>
      </w: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 xml:space="preserve">- Raportul de audit al deșeurilor (sau auditul anterior demolării, astfel cum </w:t>
      </w:r>
      <w:r w:rsidRPr="00017497">
        <w:rPr>
          <w:rFonts w:ascii="Trebuchet MS" w:hAnsi="Trebuchet MS"/>
          <w:color w:val="auto"/>
          <w:sz w:val="22"/>
          <w:szCs w:val="22"/>
        </w:rPr>
        <w:t>este definit în cadrul Protocolului european privind demolările) trebuie să se efectueze anterior oricărui proiect de renovare sau de demolare și în cazul oricăror materiale care urmează a fi reutilizate sau reciclate, precum și în cazul deșeurilor pericul</w:t>
      </w:r>
      <w:r w:rsidRPr="00017497">
        <w:rPr>
          <w:rFonts w:ascii="Trebuchet MS" w:hAnsi="Trebuchet MS"/>
          <w:color w:val="auto"/>
          <w:sz w:val="22"/>
          <w:szCs w:val="22"/>
        </w:rPr>
        <w:t>oase. Raportul de audit al deșeurilor va fi întocmit de către personal calificat (cu cunoștințe adecvate privind materialele de construcții folosite în prezent și în trecut (inclusiv materialele periculoase), tehnicile de construcție folosite în prezent și</w:t>
      </w:r>
      <w:r w:rsidRPr="00017497">
        <w:rPr>
          <w:rFonts w:ascii="Trebuchet MS" w:hAnsi="Trebuchet MS"/>
          <w:color w:val="auto"/>
          <w:sz w:val="22"/>
          <w:szCs w:val="22"/>
        </w:rPr>
        <w:t xml:space="preserve"> în trecut, precum și istoricul construcției și să fie familiarizat cu tehnicile de demolare, tratare și prelucrare a deșeurilor. </w:t>
      </w:r>
    </w:p>
    <w:p w:rsidR="00963CD1" w:rsidRPr="00017497" w:rsidRDefault="00963CD1">
      <w:pPr>
        <w:pStyle w:val="Default"/>
        <w:jc w:val="both"/>
        <w:rPr>
          <w:rFonts w:ascii="Trebuchet MS" w:hAnsi="Trebuchet MS"/>
          <w:color w:val="auto"/>
          <w:sz w:val="22"/>
          <w:szCs w:val="22"/>
        </w:rPr>
      </w:pPr>
    </w:p>
    <w:p w:rsidR="00963CD1" w:rsidRPr="00017497" w:rsidRDefault="006850AE">
      <w:pPr>
        <w:jc w:val="both"/>
        <w:rPr>
          <w:rFonts w:ascii="Trebuchet MS" w:hAnsi="Trebuchet MS"/>
        </w:rPr>
      </w:pPr>
      <w:r w:rsidRPr="00017497">
        <w:rPr>
          <w:rFonts w:ascii="Trebuchet MS" w:hAnsi="Trebuchet MS"/>
        </w:rPr>
        <w:t xml:space="preserve">Pentru o bună planificare și gestionare a deșeurilor generate în timpul activităților de construcție prestatorul va elabora </w:t>
      </w:r>
      <w:r w:rsidRPr="00017497">
        <w:rPr>
          <w:rFonts w:ascii="Trebuchet MS" w:hAnsi="Trebuchet MS"/>
        </w:rPr>
        <w:t>un Raport de audit prin parcurgerea următoarelor etape:</w:t>
      </w:r>
    </w:p>
    <w:p w:rsidR="00963CD1" w:rsidRPr="00017497" w:rsidRDefault="006850AE">
      <w:pPr>
        <w:pStyle w:val="Listparagraf"/>
        <w:numPr>
          <w:ilvl w:val="0"/>
          <w:numId w:val="2"/>
        </w:numPr>
        <w:jc w:val="both"/>
        <w:rPr>
          <w:rFonts w:ascii="Trebuchet MS" w:hAnsi="Trebuchet MS"/>
        </w:rPr>
      </w:pPr>
      <w:r w:rsidRPr="00017497">
        <w:rPr>
          <w:rFonts w:ascii="Trebuchet MS" w:hAnsi="Trebuchet MS"/>
        </w:rPr>
        <w:t>Auditul deșeurilor, ce include vizita în teren (proces-verbal al vizitei)</w:t>
      </w:r>
    </w:p>
    <w:p w:rsidR="00963CD1" w:rsidRPr="00017497" w:rsidRDefault="006850AE">
      <w:pPr>
        <w:pStyle w:val="Listparagraf"/>
        <w:numPr>
          <w:ilvl w:val="0"/>
          <w:numId w:val="2"/>
        </w:numPr>
        <w:jc w:val="both"/>
        <w:rPr>
          <w:rFonts w:ascii="Trebuchet MS" w:hAnsi="Trebuchet MS"/>
        </w:rPr>
      </w:pPr>
      <w:r w:rsidRPr="00017497">
        <w:rPr>
          <w:rFonts w:ascii="Trebuchet MS" w:hAnsi="Trebuchet MS"/>
        </w:rPr>
        <w:t>Evaluarea materialelor, analiză rezultată în urma vizitei în teren</w:t>
      </w:r>
    </w:p>
    <w:p w:rsidR="00963CD1" w:rsidRPr="00017497" w:rsidRDefault="006850AE">
      <w:pPr>
        <w:pStyle w:val="Listparagraf"/>
        <w:numPr>
          <w:ilvl w:val="0"/>
          <w:numId w:val="2"/>
        </w:numPr>
        <w:jc w:val="both"/>
        <w:rPr>
          <w:rFonts w:ascii="Trebuchet MS" w:hAnsi="Trebuchet MS"/>
        </w:rPr>
      </w:pPr>
      <w:r w:rsidRPr="00017497">
        <w:rPr>
          <w:rFonts w:ascii="Trebuchet MS" w:hAnsi="Trebuchet MS"/>
        </w:rPr>
        <w:t>Recomandări privind gestionarea deșeurilor (eliminarea, reu</w:t>
      </w:r>
      <w:r w:rsidRPr="00017497">
        <w:rPr>
          <w:rFonts w:ascii="Trebuchet MS" w:hAnsi="Trebuchet MS"/>
        </w:rPr>
        <w:t>tilizarea sau reciclarea materialelor, condiții de depozitare, soluții privind demontarea selectivă, etc.)</w:t>
      </w:r>
    </w:p>
    <w:p w:rsidR="00963CD1" w:rsidRPr="00017497" w:rsidRDefault="00963CD1">
      <w:pPr>
        <w:pStyle w:val="Default"/>
        <w:jc w:val="both"/>
        <w:rPr>
          <w:rFonts w:ascii="Trebuchet MS" w:hAnsi="Trebuchet MS"/>
          <w:color w:val="auto"/>
          <w:sz w:val="22"/>
          <w:szCs w:val="22"/>
        </w:rPr>
      </w:pPr>
    </w:p>
    <w:p w:rsidR="00963CD1" w:rsidRPr="00017497" w:rsidRDefault="006850AE">
      <w:pPr>
        <w:jc w:val="both"/>
        <w:rPr>
          <w:rFonts w:ascii="Trebuchet MS" w:hAnsi="Trebuchet MS"/>
          <w:i/>
        </w:rPr>
      </w:pPr>
      <w:r w:rsidRPr="00017497">
        <w:rPr>
          <w:rFonts w:ascii="Trebuchet MS" w:hAnsi="Trebuchet MS"/>
          <w:i/>
          <w:u w:val="single"/>
        </w:rPr>
        <w:t>Auditul deșeurilor, ce include vizita în teren (proces-verbal)</w:t>
      </w: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Auditul deșeurilor anterior demolării sau renovării clădirilor și infrastructurilor e</w:t>
      </w:r>
      <w:r w:rsidRPr="00017497">
        <w:rPr>
          <w:rFonts w:ascii="Trebuchet MS" w:hAnsi="Trebuchet MS"/>
          <w:color w:val="auto"/>
          <w:sz w:val="22"/>
          <w:szCs w:val="22"/>
        </w:rPr>
        <w:t>ste o sarcină specifică în cadrul planificării proiectului. Este necesar să se înțeleagă tipul și cantitatea de elemente și materiale care vor fi dezmembrate și/sau demolate și să se emită recomandări cu privire la modul în care acestea vor fi manevrate în</w:t>
      </w:r>
      <w:r w:rsidRPr="00017497">
        <w:rPr>
          <w:rFonts w:ascii="Trebuchet MS" w:hAnsi="Trebuchet MS"/>
          <w:color w:val="auto"/>
          <w:sz w:val="22"/>
          <w:szCs w:val="22"/>
        </w:rPr>
        <w:t xml:space="preserve"> continuare. </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Auditul deșeurilor ar trebui să ia în considerare, de asemenea, orice acte legislative relevante, cum ar fi cerințele pentru emiterea autorizațiilor de mediu, în cazul utilizării deșeurilor la fața locului sau al oricăror deșeuri care ar put</w:t>
      </w:r>
      <w:r w:rsidRPr="00017497">
        <w:rPr>
          <w:rFonts w:ascii="Trebuchet MS" w:hAnsi="Trebuchet MS"/>
          <w:color w:val="auto"/>
          <w:sz w:val="22"/>
          <w:szCs w:val="22"/>
        </w:rPr>
        <w:t>ea fi periculoase și care trebuie să fie gestionate în conformitate cu legislația specializată în domeniul deșeurilor (O.U.G. nr. 92/2021 privind regimul deşeurilor, H.G. nr. 856/2002 privind evidenţa gestiunii deşeurilor şi pentru aprobarea listei cuprinz</w:t>
      </w:r>
      <w:r w:rsidRPr="00017497">
        <w:rPr>
          <w:rFonts w:ascii="Trebuchet MS" w:hAnsi="Trebuchet MS"/>
          <w:color w:val="auto"/>
          <w:sz w:val="22"/>
          <w:szCs w:val="22"/>
        </w:rPr>
        <w:t xml:space="preserve">ând deşeurile, inclusiv deşeurile periculoase, Legea nr. 249/2015 privind modalitatea de gestionare a ambalajelor şi a deşeurilor de ambalaje). </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În timpul studiului de teren, fiecare încăpere a clădirii care urmează să fie reabilitată/demolată este inspec</w:t>
      </w:r>
      <w:r w:rsidRPr="00017497">
        <w:rPr>
          <w:rFonts w:ascii="Trebuchet MS" w:hAnsi="Trebuchet MS"/>
          <w:color w:val="auto"/>
          <w:sz w:val="22"/>
          <w:szCs w:val="22"/>
        </w:rPr>
        <w:t>tată vizual și inventariată în mai multe rânduri în mod distructiv. Dacă este necesar, sunt prelevate probe pentru analiză. Având în vedere că fiecare clădire este diferită, nu este posibilă elaborarea unei singure metode globale de colectare a datelor, ci</w:t>
      </w:r>
      <w:r w:rsidRPr="00017497">
        <w:rPr>
          <w:rFonts w:ascii="Trebuchet MS" w:hAnsi="Trebuchet MS"/>
          <w:color w:val="auto"/>
          <w:sz w:val="22"/>
          <w:szCs w:val="22"/>
        </w:rPr>
        <w:t xml:space="preserve"> este important să se lucreze sistematic și metodic.</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 xml:space="preserve">O abordare bună și eficientă a auditului constă în 4 părți: </w:t>
      </w:r>
    </w:p>
    <w:p w:rsidR="00963CD1" w:rsidRPr="00017497" w:rsidRDefault="006850AE">
      <w:pPr>
        <w:pStyle w:val="Default"/>
        <w:numPr>
          <w:ilvl w:val="0"/>
          <w:numId w:val="3"/>
        </w:numPr>
        <w:spacing w:after="53"/>
        <w:jc w:val="both"/>
        <w:rPr>
          <w:rFonts w:ascii="Trebuchet MS" w:hAnsi="Trebuchet MS"/>
          <w:color w:val="auto"/>
          <w:sz w:val="22"/>
          <w:szCs w:val="22"/>
        </w:rPr>
      </w:pPr>
      <w:r w:rsidRPr="00017497">
        <w:rPr>
          <w:rFonts w:ascii="Trebuchet MS" w:hAnsi="Trebuchet MS"/>
          <w:color w:val="auto"/>
          <w:sz w:val="22"/>
          <w:szCs w:val="22"/>
        </w:rPr>
        <w:t xml:space="preserve">Vizitarea șantierului și analiza generală a clădirii (verificarea informațiilor desprinse din studiul documentar); </w:t>
      </w:r>
    </w:p>
    <w:p w:rsidR="00963CD1" w:rsidRPr="00017497" w:rsidRDefault="006850AE">
      <w:pPr>
        <w:pStyle w:val="Default"/>
        <w:numPr>
          <w:ilvl w:val="0"/>
          <w:numId w:val="3"/>
        </w:numPr>
        <w:spacing w:after="53"/>
        <w:jc w:val="both"/>
        <w:rPr>
          <w:rFonts w:ascii="Trebuchet MS" w:hAnsi="Trebuchet MS"/>
          <w:color w:val="auto"/>
          <w:sz w:val="22"/>
          <w:szCs w:val="22"/>
        </w:rPr>
      </w:pPr>
      <w:r w:rsidRPr="00017497">
        <w:rPr>
          <w:rFonts w:ascii="Trebuchet MS" w:hAnsi="Trebuchet MS"/>
          <w:color w:val="auto"/>
          <w:sz w:val="22"/>
          <w:szCs w:val="22"/>
        </w:rPr>
        <w:t xml:space="preserve">Audit general și inventar. Auditul general și inventarul trebuie să ofere o idee (pentru fiecare parte a clădirii) privind materialele care apar și să permită colectarea informațiilor necesare pentru identificarea, cuantificarea și localizarea acestora în </w:t>
      </w:r>
      <w:r w:rsidRPr="00017497">
        <w:rPr>
          <w:rFonts w:ascii="Trebuchet MS" w:hAnsi="Trebuchet MS"/>
          <w:color w:val="auto"/>
          <w:sz w:val="22"/>
          <w:szCs w:val="22"/>
        </w:rPr>
        <w:t xml:space="preserve">clădire. </w:t>
      </w:r>
    </w:p>
    <w:p w:rsidR="00963CD1" w:rsidRPr="00017497" w:rsidRDefault="006850AE">
      <w:pPr>
        <w:pStyle w:val="Default"/>
        <w:numPr>
          <w:ilvl w:val="0"/>
          <w:numId w:val="3"/>
        </w:numPr>
        <w:spacing w:after="53"/>
        <w:jc w:val="both"/>
        <w:rPr>
          <w:rFonts w:ascii="Trebuchet MS" w:hAnsi="Trebuchet MS"/>
          <w:color w:val="auto"/>
          <w:sz w:val="22"/>
          <w:szCs w:val="22"/>
        </w:rPr>
      </w:pPr>
      <w:r w:rsidRPr="00017497">
        <w:rPr>
          <w:rFonts w:ascii="Trebuchet MS" w:hAnsi="Trebuchet MS"/>
          <w:color w:val="auto"/>
          <w:sz w:val="22"/>
          <w:szCs w:val="22"/>
        </w:rPr>
        <w:t xml:space="preserve">Audit detaliat și inventar. Diferitele încăperi sunt inventariate în detaliu (straturi de acoperire pentru pardoseală, unități de iluminat, pereți interiori, plafoane false etc.) </w:t>
      </w:r>
    </w:p>
    <w:p w:rsidR="00963CD1" w:rsidRPr="00017497" w:rsidRDefault="006850AE">
      <w:pPr>
        <w:pStyle w:val="Default"/>
        <w:numPr>
          <w:ilvl w:val="0"/>
          <w:numId w:val="3"/>
        </w:numPr>
        <w:jc w:val="both"/>
        <w:rPr>
          <w:rFonts w:ascii="Trebuchet MS" w:hAnsi="Trebuchet MS"/>
          <w:color w:val="auto"/>
          <w:sz w:val="22"/>
          <w:szCs w:val="22"/>
        </w:rPr>
      </w:pPr>
      <w:r w:rsidRPr="00017497">
        <w:rPr>
          <w:rFonts w:ascii="Trebuchet MS" w:hAnsi="Trebuchet MS"/>
          <w:color w:val="auto"/>
          <w:sz w:val="22"/>
          <w:szCs w:val="22"/>
        </w:rPr>
        <w:lastRenderedPageBreak/>
        <w:t>Prelevarea și analiza probelor (nu toate materialele pot fi identi</w:t>
      </w:r>
      <w:r w:rsidRPr="00017497">
        <w:rPr>
          <w:rFonts w:ascii="Trebuchet MS" w:hAnsi="Trebuchet MS"/>
          <w:color w:val="auto"/>
          <w:sz w:val="22"/>
          <w:szCs w:val="22"/>
        </w:rPr>
        <w:t xml:space="preserve">ficate vizual; prin urmare, materialele suspecte trebuie să fie supuse prelevării de probe și analizate) – dacă este cazul. </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Vizita la fața locului constă în inspecții vizuale, comparații ale constatărilor cu documentele colectate, planificarea inspecțiil</w:t>
      </w:r>
      <w:r w:rsidRPr="00017497">
        <w:rPr>
          <w:rFonts w:ascii="Trebuchet MS" w:hAnsi="Trebuchet MS"/>
          <w:color w:val="auto"/>
          <w:sz w:val="22"/>
          <w:szCs w:val="22"/>
        </w:rPr>
        <w:t xml:space="preserve">or și a măsurătorilor, planificarea preliminară a tehnicilor de dezmembrare și a gestionării deșeurilor la fața locului, precum și comunicarea între factorii implicați în cadrul procesului. </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 xml:space="preserve">Auditorul va trebui: </w:t>
      </w:r>
    </w:p>
    <w:p w:rsidR="00963CD1" w:rsidRPr="00017497" w:rsidRDefault="006850AE">
      <w:pPr>
        <w:pStyle w:val="Default"/>
        <w:numPr>
          <w:ilvl w:val="0"/>
          <w:numId w:val="4"/>
        </w:numPr>
        <w:spacing w:after="88"/>
        <w:jc w:val="both"/>
        <w:rPr>
          <w:rFonts w:ascii="Trebuchet MS" w:hAnsi="Trebuchet MS"/>
          <w:color w:val="auto"/>
          <w:sz w:val="22"/>
          <w:szCs w:val="22"/>
        </w:rPr>
      </w:pPr>
      <w:r w:rsidRPr="00017497">
        <w:rPr>
          <w:rFonts w:ascii="Trebuchet MS" w:hAnsi="Trebuchet MS"/>
          <w:color w:val="auto"/>
          <w:sz w:val="22"/>
          <w:szCs w:val="22"/>
        </w:rPr>
        <w:t>să evalueze consecvența documentelor dețin</w:t>
      </w:r>
      <w:r w:rsidRPr="00017497">
        <w:rPr>
          <w:rFonts w:ascii="Trebuchet MS" w:hAnsi="Trebuchet MS"/>
          <w:color w:val="auto"/>
          <w:sz w:val="22"/>
          <w:szCs w:val="22"/>
        </w:rPr>
        <w:t xml:space="preserve">ute de proprietarul imobilului cu situația reală; </w:t>
      </w:r>
    </w:p>
    <w:p w:rsidR="00963CD1" w:rsidRPr="00017497" w:rsidRDefault="006850AE">
      <w:pPr>
        <w:pStyle w:val="Default"/>
        <w:numPr>
          <w:ilvl w:val="0"/>
          <w:numId w:val="4"/>
        </w:numPr>
        <w:spacing w:after="88"/>
        <w:jc w:val="both"/>
        <w:rPr>
          <w:rFonts w:ascii="Trebuchet MS" w:hAnsi="Trebuchet MS"/>
          <w:color w:val="auto"/>
          <w:sz w:val="22"/>
          <w:szCs w:val="22"/>
        </w:rPr>
      </w:pPr>
      <w:r w:rsidRPr="00017497">
        <w:rPr>
          <w:rFonts w:ascii="Trebuchet MS" w:hAnsi="Trebuchet MS"/>
          <w:color w:val="auto"/>
          <w:sz w:val="22"/>
          <w:szCs w:val="22"/>
        </w:rPr>
        <w:t>să identifice localizarea, structura și sistemele tehnice diferite și materialele acestora, acordând o atenție deosebită materialelor care pot părea foarte asemănătoare, de exemplu în cazul sistemelor comp</w:t>
      </w:r>
      <w:r w:rsidRPr="00017497">
        <w:rPr>
          <w:rFonts w:ascii="Trebuchet MS" w:hAnsi="Trebuchet MS"/>
          <w:color w:val="auto"/>
          <w:sz w:val="22"/>
          <w:szCs w:val="22"/>
        </w:rPr>
        <w:t xml:space="preserve">lexe în care un material poate fi acoperit de un alt material; </w:t>
      </w:r>
    </w:p>
    <w:p w:rsidR="00963CD1" w:rsidRPr="00017497" w:rsidRDefault="006850AE">
      <w:pPr>
        <w:pStyle w:val="Default"/>
        <w:numPr>
          <w:ilvl w:val="0"/>
          <w:numId w:val="4"/>
        </w:numPr>
        <w:spacing w:after="88"/>
        <w:jc w:val="both"/>
        <w:rPr>
          <w:rFonts w:ascii="Trebuchet MS" w:hAnsi="Trebuchet MS"/>
          <w:color w:val="auto"/>
          <w:sz w:val="22"/>
          <w:szCs w:val="22"/>
        </w:rPr>
      </w:pPr>
      <w:r w:rsidRPr="00017497">
        <w:rPr>
          <w:rFonts w:ascii="Trebuchet MS" w:hAnsi="Trebuchet MS"/>
          <w:color w:val="auto"/>
          <w:sz w:val="22"/>
          <w:szCs w:val="22"/>
        </w:rPr>
        <w:t xml:space="preserve">să elaboreze diagrame, să ia note, să facă fotografii ale diferitelor piese și să le includă în raport pentru a facilita înțelegerea raportului final; </w:t>
      </w:r>
    </w:p>
    <w:p w:rsidR="00963CD1" w:rsidRPr="00017497" w:rsidRDefault="006850AE">
      <w:pPr>
        <w:pStyle w:val="Default"/>
        <w:numPr>
          <w:ilvl w:val="0"/>
          <w:numId w:val="4"/>
        </w:numPr>
        <w:spacing w:after="88"/>
        <w:jc w:val="both"/>
        <w:rPr>
          <w:rFonts w:ascii="Trebuchet MS" w:hAnsi="Trebuchet MS"/>
          <w:color w:val="auto"/>
          <w:sz w:val="22"/>
          <w:szCs w:val="22"/>
        </w:rPr>
      </w:pPr>
      <w:r w:rsidRPr="00017497">
        <w:rPr>
          <w:rFonts w:ascii="Trebuchet MS" w:hAnsi="Trebuchet MS"/>
          <w:color w:val="auto"/>
          <w:sz w:val="22"/>
          <w:szCs w:val="22"/>
        </w:rPr>
        <w:t>să se asigure că a identificat toate mat</w:t>
      </w:r>
      <w:r w:rsidRPr="00017497">
        <w:rPr>
          <w:rFonts w:ascii="Trebuchet MS" w:hAnsi="Trebuchet MS"/>
          <w:color w:val="auto"/>
          <w:sz w:val="22"/>
          <w:szCs w:val="22"/>
        </w:rPr>
        <w:t xml:space="preserve">erialele. În zonele acoperite, este important să se îndepărteze o mică parte a acoperirii, pentru a se asigura că materialele de dedesubt sunt cele preconizate. </w:t>
      </w:r>
    </w:p>
    <w:p w:rsidR="00963CD1" w:rsidRPr="00017497" w:rsidRDefault="006850AE">
      <w:pPr>
        <w:pStyle w:val="Default"/>
        <w:numPr>
          <w:ilvl w:val="0"/>
          <w:numId w:val="4"/>
        </w:numPr>
        <w:jc w:val="both"/>
        <w:rPr>
          <w:rFonts w:ascii="Trebuchet MS" w:hAnsi="Trebuchet MS"/>
          <w:color w:val="auto"/>
          <w:sz w:val="22"/>
          <w:szCs w:val="22"/>
        </w:rPr>
      </w:pPr>
      <w:r w:rsidRPr="00017497">
        <w:rPr>
          <w:rFonts w:ascii="Trebuchet MS" w:hAnsi="Trebuchet MS"/>
          <w:color w:val="auto"/>
          <w:sz w:val="22"/>
          <w:szCs w:val="22"/>
        </w:rPr>
        <w:t xml:space="preserve">să preleveze probe din materiale pentru a stabili natura și cantitatea materialelor studiate. </w:t>
      </w:r>
      <w:r w:rsidRPr="00017497">
        <w:rPr>
          <w:rFonts w:ascii="Trebuchet MS" w:hAnsi="Trebuchet MS"/>
          <w:color w:val="auto"/>
          <w:sz w:val="22"/>
          <w:szCs w:val="22"/>
        </w:rPr>
        <w:t xml:space="preserve">Aceste probe trebuie să fie inspectate vizual în momentul prelevării, iar observațiile trebuie raportate – dacă este cazul. </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 xml:space="preserve">Vizita la fața locului trebuie să se efectueze prin tehnici nedistructive sau distructive pentru a evalua corect întreaga gamă de </w:t>
      </w:r>
      <w:r w:rsidRPr="00017497">
        <w:rPr>
          <w:rFonts w:ascii="Trebuchet MS" w:hAnsi="Trebuchet MS"/>
          <w:color w:val="auto"/>
          <w:sz w:val="22"/>
          <w:szCs w:val="22"/>
        </w:rPr>
        <w:t>materiale. Printre tehnicile distructive s-ar putea număra: deschiderea tavanelor și a pereților falși, deschiderea coloanelor tehnice, realizarea unui orificiu în perete și în straturile de acoperire pentru pardoseală, dezasamblarea (parțială) a instalați</w:t>
      </w:r>
      <w:r w:rsidRPr="00017497">
        <w:rPr>
          <w:rFonts w:ascii="Trebuchet MS" w:hAnsi="Trebuchet MS"/>
          <w:color w:val="auto"/>
          <w:sz w:val="22"/>
          <w:szCs w:val="22"/>
        </w:rPr>
        <w:t>ilor tehnice (conducte de ventilație etc.), îndepărtarea stratului de acoperire de pe suprafețe, perforarea pentru a observa compoziția la diferite adâncimi sau orice altă operațiune considerată necesară pentru a obține informații complete despre materiale</w:t>
      </w:r>
      <w:r w:rsidRPr="00017497">
        <w:rPr>
          <w:rFonts w:ascii="Trebuchet MS" w:hAnsi="Trebuchet MS"/>
          <w:color w:val="auto"/>
          <w:sz w:val="22"/>
          <w:szCs w:val="22"/>
        </w:rPr>
        <w:t xml:space="preserve">. Întrucât este foarte probabil să fie necesară folosirea tehnicilor distructive, studiul de teren se realizează cel mai bine atunci când clădirea nu mai este în uz. </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În cazul în care se constată existența unor substanțe periculoase (materiale ce pot fi î</w:t>
      </w:r>
      <w:r w:rsidRPr="00017497">
        <w:rPr>
          <w:rFonts w:ascii="Trebuchet MS" w:hAnsi="Trebuchet MS"/>
          <w:color w:val="auto"/>
          <w:sz w:val="22"/>
          <w:szCs w:val="22"/>
        </w:rPr>
        <w:t>ncadrate în categoria substanțelor toxice și periculoase, conform H.G. nr. 856/2002) la fața locului sau dacă, în orice moment, există suspiciuni că ar putea fi prezente substanțe periculoase, trebuie stabilite protocoale de lucru cu substanțele periculoas</w:t>
      </w:r>
      <w:r w:rsidRPr="00017497">
        <w:rPr>
          <w:rFonts w:ascii="Trebuchet MS" w:hAnsi="Trebuchet MS"/>
          <w:color w:val="auto"/>
          <w:sz w:val="22"/>
          <w:szCs w:val="22"/>
        </w:rPr>
        <w:t xml:space="preserve">e și trebuie aplicate măsuri de protecție a lucrătorilor în timpul vizitei la fața locului, în special în timpul etapelor distructive. </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Informațiile privind elementele constructive și neconstructive (cum ar fi stâlpii, grinzile, pereții, plăcile etc., pre</w:t>
      </w:r>
      <w:r w:rsidRPr="00017497">
        <w:rPr>
          <w:rFonts w:ascii="Trebuchet MS" w:hAnsi="Trebuchet MS"/>
          <w:color w:val="auto"/>
          <w:sz w:val="22"/>
          <w:szCs w:val="22"/>
        </w:rPr>
        <w:t>cum și piesele de mobilier, instalațiile de iluminat, instalațiile electronice, hârtia etc.) și materialele corespunzătoare vor fi organizate astfel încât să indice nu numai cantitatea totală de deșeuri, ci și cantitatea totală a diferitelor tipuri de mate</w:t>
      </w:r>
      <w:r w:rsidRPr="00017497">
        <w:rPr>
          <w:rFonts w:ascii="Trebuchet MS" w:hAnsi="Trebuchet MS"/>
          <w:color w:val="auto"/>
          <w:sz w:val="22"/>
          <w:szCs w:val="22"/>
        </w:rPr>
        <w:t xml:space="preserve">riale. </w:t>
      </w: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 xml:space="preserve">Se recomandă în mod deosebit: </w:t>
      </w:r>
    </w:p>
    <w:p w:rsidR="00963CD1" w:rsidRPr="00017497" w:rsidRDefault="006850AE">
      <w:pPr>
        <w:pStyle w:val="Default"/>
        <w:spacing w:after="89"/>
        <w:jc w:val="both"/>
        <w:rPr>
          <w:rFonts w:ascii="Trebuchet MS" w:hAnsi="Trebuchet MS"/>
          <w:color w:val="auto"/>
          <w:sz w:val="22"/>
          <w:szCs w:val="22"/>
        </w:rPr>
      </w:pPr>
      <w:r w:rsidRPr="00017497">
        <w:rPr>
          <w:rFonts w:ascii="Trebuchet MS" w:hAnsi="Trebuchet MS"/>
          <w:color w:val="auto"/>
          <w:sz w:val="22"/>
          <w:szCs w:val="22"/>
        </w:rPr>
        <w:t xml:space="preserve"> separarea sursei de deșeuri pe diferite niveluri ale clădirii; </w:t>
      </w:r>
    </w:p>
    <w:p w:rsidR="00963CD1" w:rsidRPr="00017497" w:rsidRDefault="006850AE">
      <w:pPr>
        <w:pStyle w:val="Default"/>
        <w:spacing w:after="89"/>
        <w:jc w:val="both"/>
        <w:rPr>
          <w:rFonts w:ascii="Trebuchet MS" w:hAnsi="Trebuchet MS"/>
          <w:color w:val="auto"/>
          <w:sz w:val="22"/>
          <w:szCs w:val="22"/>
        </w:rPr>
      </w:pPr>
      <w:r w:rsidRPr="00017497">
        <w:rPr>
          <w:rFonts w:ascii="Trebuchet MS" w:hAnsi="Trebuchet MS"/>
          <w:color w:val="auto"/>
          <w:sz w:val="22"/>
          <w:szCs w:val="22"/>
        </w:rPr>
        <w:t xml:space="preserve"> luarea în considerare a fezabilității separării; </w:t>
      </w: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 xml:space="preserve"> includerea de fotografii care prezintă detalii, pentru ca raportul să fie mai ușor de citit. </w:t>
      </w:r>
    </w:p>
    <w:p w:rsidR="00963CD1" w:rsidRPr="00017497" w:rsidRDefault="00963CD1">
      <w:pPr>
        <w:pStyle w:val="Default"/>
        <w:jc w:val="both"/>
        <w:rPr>
          <w:color w:val="auto"/>
          <w:sz w:val="22"/>
          <w:szCs w:val="22"/>
        </w:rPr>
      </w:pPr>
    </w:p>
    <w:p w:rsidR="00963CD1" w:rsidRPr="00017497" w:rsidRDefault="006850AE">
      <w:pPr>
        <w:jc w:val="both"/>
        <w:rPr>
          <w:rFonts w:ascii="Trebuchet MS" w:hAnsi="Trebuchet MS"/>
          <w:i/>
          <w:u w:val="single"/>
        </w:rPr>
      </w:pPr>
      <w:r w:rsidRPr="00017497">
        <w:rPr>
          <w:rFonts w:ascii="Trebuchet MS" w:hAnsi="Trebuchet MS"/>
          <w:i/>
          <w:u w:val="single"/>
        </w:rPr>
        <w:t>Evaluarea materialelor, analiză rezultată în urma vizitei în teren</w:t>
      </w: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Evaluarea materialelor ar trebui să fie completată cu informații privind posibilitatea de a valorifica aceste materiale. Din acest motiv, este foarte important să se estimeze dacă deșeurile</w:t>
      </w:r>
      <w:r w:rsidRPr="00017497">
        <w:rPr>
          <w:rFonts w:ascii="Trebuchet MS" w:hAnsi="Trebuchet MS"/>
          <w:color w:val="auto"/>
          <w:sz w:val="22"/>
          <w:szCs w:val="22"/>
        </w:rPr>
        <w:t xml:space="preserve"> vor putea fi separate din punct de vedere tehnic și economic, pentru a decide care dintre diferitele tipuri de întrebuințări ar trebui propuse în etapa de planificare a gestionării deșeurilor din cadrul auditului deșeurilor. </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lastRenderedPageBreak/>
        <w:t>Toate informațiile de mai su</w:t>
      </w:r>
      <w:r w:rsidRPr="00017497">
        <w:rPr>
          <w:rFonts w:ascii="Trebuchet MS" w:hAnsi="Trebuchet MS"/>
          <w:color w:val="auto"/>
          <w:sz w:val="22"/>
          <w:szCs w:val="22"/>
        </w:rPr>
        <w:t>s trebuie completate cu fotografii, pentru a simplifica activitatea contractantului la desfășurarea activităților de construcție, demolare, consolidare sau renovare. Fotografiile ar trebui să fie clare și să prezinte explicit informațiile pe care intențion</w:t>
      </w:r>
      <w:r w:rsidRPr="00017497">
        <w:rPr>
          <w:rFonts w:ascii="Trebuchet MS" w:hAnsi="Trebuchet MS"/>
          <w:color w:val="auto"/>
          <w:sz w:val="22"/>
          <w:szCs w:val="22"/>
        </w:rPr>
        <w:t>ează să le ofere. (O practică bună constă în a nota pe fotografii amplasamentul detaliului prezentat.)</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bCs/>
          <w:i/>
          <w:color w:val="auto"/>
          <w:sz w:val="22"/>
          <w:szCs w:val="22"/>
          <w:u w:val="single"/>
        </w:rPr>
      </w:pPr>
      <w:r w:rsidRPr="00017497">
        <w:rPr>
          <w:rFonts w:ascii="Trebuchet MS" w:hAnsi="Trebuchet MS"/>
          <w:bCs/>
          <w:i/>
          <w:color w:val="auto"/>
          <w:sz w:val="22"/>
          <w:szCs w:val="22"/>
          <w:u w:val="single"/>
        </w:rPr>
        <w:t>Recomandări privind gestionarea deșeurilor (eliminarea, reutilizarea sau reciclarea materialelor, condiții de depozitare, soluții privind demontarea sel</w:t>
      </w:r>
      <w:r w:rsidRPr="00017497">
        <w:rPr>
          <w:rFonts w:ascii="Trebuchet MS" w:hAnsi="Trebuchet MS"/>
          <w:bCs/>
          <w:i/>
          <w:color w:val="auto"/>
          <w:sz w:val="22"/>
          <w:szCs w:val="22"/>
          <w:u w:val="single"/>
        </w:rPr>
        <w:t>ectivă, etc.)</w:t>
      </w:r>
    </w:p>
    <w:p w:rsidR="00963CD1" w:rsidRPr="00017497" w:rsidRDefault="00963CD1">
      <w:pPr>
        <w:pStyle w:val="Default"/>
        <w:jc w:val="both"/>
        <w:rPr>
          <w:rFonts w:ascii="Trebuchet MS" w:hAnsi="Trebuchet MS"/>
          <w:bCs/>
          <w:i/>
          <w:color w:val="auto"/>
          <w:sz w:val="22"/>
          <w:szCs w:val="22"/>
          <w:u w:val="single"/>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 xml:space="preserve">Aceste recomandări vor include orientări privind eliminarea în siguranță a materialelor periculoase, posibilitățile de reutilizare sau reciclare a anumitor materiale (cu valoare ridicată) prezente în clădire, condițiile (cu caracter juridic </w:t>
      </w:r>
      <w:r w:rsidRPr="00017497">
        <w:rPr>
          <w:rFonts w:ascii="Trebuchet MS" w:hAnsi="Trebuchet MS"/>
          <w:color w:val="auto"/>
          <w:sz w:val="22"/>
          <w:szCs w:val="22"/>
        </w:rPr>
        <w:t xml:space="preserve">obligatoriu) pentru depozitarea, transportul și tratarea anumitor materiale, recomandări care rezultă din limitările studiului de teren etc. </w:t>
      </w: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Auditul deșeurilor ar trebui să precizeze zonele clădirii posibil afectate de contaminare și cea mai bună modalita</w:t>
      </w:r>
      <w:r w:rsidRPr="00017497">
        <w:rPr>
          <w:rFonts w:ascii="Trebuchet MS" w:hAnsi="Trebuchet MS"/>
          <w:color w:val="auto"/>
          <w:sz w:val="22"/>
          <w:szCs w:val="22"/>
        </w:rPr>
        <w:t xml:space="preserve">te de tratare a acestora înainte de a începe celelalte activități ale proiectului. Dacă este posibil, ar trebui recomandată o </w:t>
      </w:r>
      <w:r w:rsidRPr="00017497">
        <w:rPr>
          <w:rFonts w:ascii="Trebuchet MS" w:hAnsi="Trebuchet MS"/>
          <w:b/>
          <w:color w:val="auto"/>
          <w:sz w:val="22"/>
          <w:szCs w:val="22"/>
        </w:rPr>
        <w:t>demontare selectivă pentru a se colecta cât mai multe deșeuri</w:t>
      </w:r>
      <w:r w:rsidRPr="00017497">
        <w:rPr>
          <w:rFonts w:ascii="Trebuchet MS" w:hAnsi="Trebuchet MS"/>
          <w:color w:val="auto"/>
          <w:sz w:val="22"/>
          <w:szCs w:val="22"/>
        </w:rPr>
        <w:t>. Trebuie să se țină seama în special de materialele care conțin azbe</w:t>
      </w:r>
      <w:r w:rsidRPr="00017497">
        <w:rPr>
          <w:rFonts w:ascii="Trebuchet MS" w:hAnsi="Trebuchet MS"/>
          <w:color w:val="auto"/>
          <w:sz w:val="22"/>
          <w:szCs w:val="22"/>
        </w:rPr>
        <w:t xml:space="preserve">st, iar auditul deșeurilor ar trebui să includă o trimitere la legislația națională care reglementează modul de tratare a acestor deșeuri. </w:t>
      </w:r>
    </w:p>
    <w:p w:rsidR="00963CD1" w:rsidRPr="00017497" w:rsidRDefault="00963CD1">
      <w:pPr>
        <w:pStyle w:val="Default"/>
        <w:jc w:val="both"/>
        <w:rPr>
          <w:rFonts w:ascii="Trebuchet MS" w:hAnsi="Trebuchet MS"/>
          <w:color w:val="auto"/>
          <w:sz w:val="22"/>
          <w:szCs w:val="22"/>
        </w:rPr>
      </w:pPr>
    </w:p>
    <w:p w:rsidR="00963CD1" w:rsidRPr="00017497" w:rsidRDefault="006850AE">
      <w:pPr>
        <w:spacing w:after="0" w:line="240" w:lineRule="auto"/>
        <w:jc w:val="both"/>
        <w:rPr>
          <w:rFonts w:ascii="Trebuchet MS" w:eastAsia="Trebuchet MS" w:hAnsi="Trebuchet MS" w:cs="Trebuchet MS"/>
        </w:rPr>
      </w:pPr>
      <w:r w:rsidRPr="00017497">
        <w:rPr>
          <w:rFonts w:ascii="Trebuchet MS" w:hAnsi="Trebuchet MS"/>
        </w:rPr>
        <w:t>Raportul final se bazează pe auditul deșeurilor, pe procesul-verbal al vizitei la fața locului, pe raportul de eval</w:t>
      </w:r>
      <w:r w:rsidRPr="00017497">
        <w:rPr>
          <w:rFonts w:ascii="Trebuchet MS" w:hAnsi="Trebuchet MS"/>
        </w:rPr>
        <w:t>uare a materialelor și, eventual, pe raportul referitor la recomandarea de gestionare a șantierului (cel puțin 70% în greutate, din deșeurile nepericuloase provenite din activitățile de construcție și demolări generate sunt pregătite pentru reutilizare, re</w:t>
      </w:r>
      <w:r w:rsidRPr="00017497">
        <w:rPr>
          <w:rFonts w:ascii="Trebuchet MS" w:hAnsi="Trebuchet MS"/>
        </w:rPr>
        <w:t>ciclare și alte operațiuni de valorificare materială, inclusiv operațiuni de umplere care utilizează deșeuri pentru a înlocui alte materiale).</w:t>
      </w:r>
      <w:r w:rsidRPr="00017497">
        <w:rPr>
          <w:rFonts w:ascii="Trebuchet MS" w:hAnsi="Trebuchet MS"/>
        </w:rPr>
        <w:t xml:space="preserve"> </w:t>
      </w:r>
      <w:r w:rsidRPr="00017497">
        <w:rPr>
          <w:rFonts w:ascii="Trebuchet MS" w:eastAsia="Trebuchet MS" w:hAnsi="Trebuchet MS" w:cs="Trebuchet MS"/>
        </w:rPr>
        <w:t xml:space="preserve">Conform </w:t>
      </w:r>
      <w:r w:rsidRPr="00017497">
        <w:rPr>
          <w:rFonts w:ascii="Trebuchet MS" w:eastAsia="Trebuchet MS" w:hAnsi="Trebuchet MS" w:cs="Trebuchet MS"/>
        </w:rPr>
        <w:t>O.U.G. nr. 92/2021 privind regimul deşeurilor</w:t>
      </w:r>
      <w:r w:rsidRPr="00017497">
        <w:rPr>
          <w:rFonts w:ascii="Trebuchet MS" w:eastAsia="Trebuchet MS" w:hAnsi="Trebuchet MS" w:cs="Trebuchet MS"/>
        </w:rPr>
        <w:t xml:space="preserve">, cu modificările și completările ulterioare, titularii pe numele cărora au fost emise autorizaţii de construire şi/sau desfiinţare potrivit prevederilor Legii nr. 50/1991 privind autorizarea executării lucrărilor de construcţii </w:t>
      </w:r>
      <w:r w:rsidRPr="00017497">
        <w:rPr>
          <w:rFonts w:ascii="Trebuchet MS" w:eastAsia="Trebuchet MS" w:hAnsi="Trebuchet MS" w:cs="Trebuchet MS"/>
        </w:rPr>
        <w:t xml:space="preserve">au obligația să gestioneze </w:t>
      </w:r>
      <w:r w:rsidRPr="00017497">
        <w:rPr>
          <w:rFonts w:ascii="Trebuchet MS" w:eastAsia="Trebuchet MS" w:hAnsi="Trebuchet MS" w:cs="Trebuchet MS"/>
        </w:rPr>
        <w:t>deșeurile din construcții și desființări, astfel încât să atingă un nivel de pregătire pentru reutilizare, reciclare și alte operațiuni de valorificare materială, inclusiv operațiuni de rambleiere care utilizează deșeuri pentru a înlocui alte materiale, de</w:t>
      </w:r>
      <w:r w:rsidRPr="00017497">
        <w:rPr>
          <w:rFonts w:ascii="Trebuchet MS" w:eastAsia="Trebuchet MS" w:hAnsi="Trebuchet MS" w:cs="Trebuchet MS"/>
        </w:rPr>
        <w:t xml:space="preserve"> minimum 70% din masa deșeurilor nepericuloase provenite din activități de construcție și desființări, cu excepția materialelor geologice naturale definite la categoria 17 05 04 din anexa la Decizia Comisiei din 18 decembrie 2014 de modificare a Deciziei 2</w:t>
      </w:r>
      <w:r w:rsidRPr="00017497">
        <w:rPr>
          <w:rFonts w:ascii="Trebuchet MS" w:eastAsia="Trebuchet MS" w:hAnsi="Trebuchet MS" w:cs="Trebuchet MS"/>
        </w:rPr>
        <w:t>000/532/CE de stabilire a unei liste de deșeuri în temeiul Directivei 2008/98/CE a Parlamentului European și a Consiliului)</w:t>
      </w:r>
      <w:r w:rsidRPr="00017497">
        <w:rPr>
          <w:rFonts w:ascii="Trebuchet MS" w:eastAsia="Trebuchet MS" w:hAnsi="Trebuchet MS" w:cs="Trebuchet MS"/>
        </w:rPr>
        <w:t>.</w:t>
      </w:r>
    </w:p>
    <w:p w:rsidR="00963CD1" w:rsidRPr="00017497" w:rsidRDefault="00963CD1">
      <w:pPr>
        <w:pStyle w:val="Default"/>
        <w:jc w:val="both"/>
        <w:rPr>
          <w:rFonts w:ascii="Trebuchet MS" w:hAnsi="Trebuchet MS"/>
          <w:color w:val="auto"/>
          <w:sz w:val="22"/>
          <w:szCs w:val="22"/>
        </w:rPr>
      </w:pPr>
      <w:bookmarkStart w:id="0" w:name="_GoBack"/>
      <w:bookmarkEnd w:id="0"/>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Raportul de audit va conține și măsuri privind calitatea aerului din interiorul clădirilor asupra cărora s-a intervenit, recomand</w:t>
      </w:r>
      <w:r w:rsidRPr="00017497">
        <w:rPr>
          <w:rFonts w:ascii="Trebuchet MS" w:hAnsi="Trebuchet MS"/>
          <w:color w:val="auto"/>
          <w:sz w:val="22"/>
          <w:szCs w:val="22"/>
        </w:rPr>
        <w:t xml:space="preserve">ări privind materiale de construcții care conduc la reducerea zgomotului, a prafului și a emisiilor poluante în timpul lucrărilor de consolidare, utilizarea materialelor cu conținut scăzut de carbon, atât pentru intervențiile în vederea reducerii riscului </w:t>
      </w:r>
      <w:r w:rsidRPr="00017497">
        <w:rPr>
          <w:rFonts w:ascii="Trebuchet MS" w:hAnsi="Trebuchet MS"/>
          <w:color w:val="auto"/>
          <w:sz w:val="22"/>
          <w:szCs w:val="22"/>
        </w:rPr>
        <w:t>seismic, cât și pentru eficientizarea energetică a clădirilor.</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jc w:val="both"/>
        <w:rPr>
          <w:rFonts w:ascii="Trebuchet MS" w:hAnsi="Trebuchet MS"/>
          <w:color w:val="auto"/>
          <w:sz w:val="22"/>
          <w:szCs w:val="22"/>
        </w:rPr>
      </w:pPr>
      <w:r w:rsidRPr="00017497">
        <w:rPr>
          <w:rFonts w:ascii="Trebuchet MS" w:hAnsi="Trebuchet MS"/>
          <w:color w:val="auto"/>
          <w:sz w:val="22"/>
          <w:szCs w:val="22"/>
        </w:rPr>
        <w:t>Verificarea calității Raportului de audit efectuat, va fi realizată de către structura de specialitate din cadrul Primăriei municipiului Galați, în 3 etape:</w:t>
      </w:r>
    </w:p>
    <w:p w:rsidR="00963CD1" w:rsidRPr="00017497" w:rsidRDefault="006850AE">
      <w:pPr>
        <w:pStyle w:val="Default"/>
        <w:numPr>
          <w:ilvl w:val="0"/>
          <w:numId w:val="5"/>
        </w:numPr>
        <w:spacing w:after="89"/>
        <w:jc w:val="both"/>
        <w:rPr>
          <w:rFonts w:ascii="Trebuchet MS" w:hAnsi="Trebuchet MS"/>
          <w:color w:val="auto"/>
          <w:sz w:val="22"/>
          <w:szCs w:val="22"/>
        </w:rPr>
      </w:pPr>
      <w:r w:rsidRPr="00017497">
        <w:rPr>
          <w:rFonts w:ascii="Trebuchet MS" w:hAnsi="Trebuchet MS"/>
          <w:color w:val="auto"/>
          <w:sz w:val="22"/>
          <w:szCs w:val="22"/>
        </w:rPr>
        <w:t>Etapa 1: Evaluarea inițială în curs</w:t>
      </w:r>
      <w:r w:rsidRPr="00017497">
        <w:rPr>
          <w:rFonts w:ascii="Trebuchet MS" w:hAnsi="Trebuchet MS"/>
          <w:color w:val="auto"/>
          <w:sz w:val="22"/>
          <w:szCs w:val="22"/>
        </w:rPr>
        <w:t xml:space="preserve">ul auditului deșeurilor. După ce se efectuează (și se înregistrează) auditul deșeurilor, acesta va fi verificat în ceea ce privește calitatea. </w:t>
      </w:r>
    </w:p>
    <w:p w:rsidR="00963CD1" w:rsidRPr="00017497" w:rsidRDefault="006850AE">
      <w:pPr>
        <w:pStyle w:val="Default"/>
        <w:numPr>
          <w:ilvl w:val="0"/>
          <w:numId w:val="5"/>
        </w:numPr>
        <w:spacing w:after="80"/>
        <w:jc w:val="both"/>
        <w:rPr>
          <w:rFonts w:ascii="Trebuchet MS" w:hAnsi="Trebuchet MS"/>
          <w:color w:val="auto"/>
          <w:sz w:val="22"/>
          <w:szCs w:val="22"/>
        </w:rPr>
      </w:pPr>
      <w:r w:rsidRPr="00017497">
        <w:rPr>
          <w:rFonts w:ascii="Trebuchet MS" w:hAnsi="Trebuchet MS"/>
          <w:color w:val="auto"/>
          <w:sz w:val="22"/>
          <w:szCs w:val="22"/>
        </w:rPr>
        <w:t>Etapa 2: Verificarea ulterioară lucrărilor de demolare sau în cursul acestora. Se va lua în considerare, în prin</w:t>
      </w:r>
      <w:r w:rsidRPr="00017497">
        <w:rPr>
          <w:rFonts w:ascii="Trebuchet MS" w:hAnsi="Trebuchet MS"/>
          <w:color w:val="auto"/>
          <w:sz w:val="22"/>
          <w:szCs w:val="22"/>
        </w:rPr>
        <w:t>cipal: ce se întâmplă cu deșeurile periculoase (pentru a se stabili dacă acestea sunt îndepărtate și eliminate în mod corect); prezența deșeurilor periculoase ascunse; cantitățile eliberate ar trebui comparate cu cele estimate; materialele colectate împreu</w:t>
      </w:r>
      <w:r w:rsidRPr="00017497">
        <w:rPr>
          <w:rFonts w:ascii="Trebuchet MS" w:hAnsi="Trebuchet MS"/>
          <w:color w:val="auto"/>
          <w:sz w:val="22"/>
          <w:szCs w:val="22"/>
        </w:rPr>
        <w:t xml:space="preserve">nă și materialele separate. </w:t>
      </w:r>
    </w:p>
    <w:p w:rsidR="00963CD1" w:rsidRPr="00017497" w:rsidRDefault="00963CD1">
      <w:pPr>
        <w:pStyle w:val="Default"/>
        <w:jc w:val="both"/>
        <w:rPr>
          <w:rFonts w:ascii="Trebuchet MS" w:hAnsi="Trebuchet MS"/>
          <w:color w:val="auto"/>
          <w:sz w:val="22"/>
          <w:szCs w:val="22"/>
        </w:rPr>
      </w:pPr>
    </w:p>
    <w:p w:rsidR="00963CD1" w:rsidRPr="00017497" w:rsidRDefault="006850AE">
      <w:pPr>
        <w:pStyle w:val="Default"/>
        <w:numPr>
          <w:ilvl w:val="0"/>
          <w:numId w:val="5"/>
        </w:numPr>
        <w:jc w:val="both"/>
        <w:rPr>
          <w:rFonts w:ascii="Trebuchet MS" w:hAnsi="Trebuchet MS"/>
          <w:color w:val="auto"/>
          <w:sz w:val="22"/>
          <w:szCs w:val="22"/>
        </w:rPr>
      </w:pPr>
      <w:r w:rsidRPr="00017497">
        <w:rPr>
          <w:rFonts w:ascii="Trebuchet MS" w:hAnsi="Trebuchet MS"/>
          <w:color w:val="auto"/>
          <w:sz w:val="22"/>
          <w:szCs w:val="22"/>
        </w:rPr>
        <w:t xml:space="preserve">Etapa 3: Verificare cu procesul de gestionare. Luând în considerare nu numai cantitățile și ratele de separare, ci și tipul de gestionare a deșeurilor care s-a efectuat. </w:t>
      </w:r>
    </w:p>
    <w:p w:rsidR="00963CD1" w:rsidRPr="00017497" w:rsidRDefault="00963CD1">
      <w:pPr>
        <w:jc w:val="both"/>
        <w:rPr>
          <w:rFonts w:ascii="Trebuchet MS" w:hAnsi="Trebuchet MS"/>
        </w:rPr>
      </w:pPr>
    </w:p>
    <w:p w:rsidR="00963CD1" w:rsidRPr="00017497" w:rsidRDefault="006850AE">
      <w:pPr>
        <w:jc w:val="both"/>
        <w:rPr>
          <w:rFonts w:ascii="Trebuchet MS" w:hAnsi="Trebuchet MS"/>
        </w:rPr>
      </w:pPr>
      <w:r w:rsidRPr="00017497">
        <w:rPr>
          <w:rFonts w:ascii="Trebuchet MS" w:hAnsi="Trebuchet MS"/>
        </w:rPr>
        <w:t>Operatorii economici se obligă să pună la dispoziția a</w:t>
      </w:r>
      <w:r w:rsidRPr="00017497">
        <w:rPr>
          <w:rFonts w:ascii="Trebuchet MS" w:hAnsi="Trebuchet MS"/>
        </w:rPr>
        <w:t xml:space="preserve">chizitorului toate documentele solicitate prin ghiduri, contracte de finanțare, etc., în termenul și în condițiile prevăzute în acestea (ex: situații </w:t>
      </w:r>
      <w:r w:rsidRPr="00017497">
        <w:rPr>
          <w:rFonts w:ascii="Trebuchet MS" w:hAnsi="Trebuchet MS"/>
        </w:rPr>
        <w:lastRenderedPageBreak/>
        <w:t xml:space="preserve">de lucrări, inclusiv pentru lista de verificare a condițiilor DNSH, astfel cum vor fi solicitate de către </w:t>
      </w:r>
      <w:r w:rsidRPr="00017497">
        <w:rPr>
          <w:rFonts w:ascii="Trebuchet MS" w:hAnsi="Trebuchet MS"/>
        </w:rPr>
        <w:t>autoritățile competente, declarații de performanță pentru produsele pentru construcţii/declarații de conformitate/agremente tehnic în construcţii, fișe cu date de securitate ale produselor, fișe tehnice ale echipamentelor folosite, fișe tehnice ale utilaje</w:t>
      </w:r>
      <w:r w:rsidRPr="00017497">
        <w:rPr>
          <w:rFonts w:ascii="Trebuchet MS" w:hAnsi="Trebuchet MS"/>
        </w:rPr>
        <w:t>lor utilizate, etc.).</w:t>
      </w:r>
    </w:p>
    <w:p w:rsidR="00963CD1" w:rsidRPr="00017497" w:rsidRDefault="006850AE">
      <w:pPr>
        <w:jc w:val="both"/>
        <w:rPr>
          <w:rFonts w:ascii="Trebuchet MS" w:eastAsia="Trebuchet MS" w:hAnsi="Trebuchet MS" w:cs="Trebuchet MS"/>
        </w:rPr>
      </w:pPr>
      <w:r w:rsidRPr="00017497">
        <w:rPr>
          <w:rFonts w:ascii="Trebuchet MS" w:eastAsia="Trebuchet MS" w:hAnsi="Trebuchet MS" w:cs="Trebuchet MS"/>
        </w:rPr>
        <w:t>Pentru a putea verifica daca au fost respectate conditiile pe perioada executiei lucrarilor, trebuie puse la dispozitie urmatoarele documente:</w:t>
      </w:r>
    </w:p>
    <w:p w:rsidR="00963CD1" w:rsidRPr="00017497" w:rsidRDefault="006850AE">
      <w:pPr>
        <w:pStyle w:val="Listparagraf"/>
        <w:numPr>
          <w:ilvl w:val="0"/>
          <w:numId w:val="6"/>
        </w:numPr>
        <w:jc w:val="both"/>
        <w:rPr>
          <w:rFonts w:ascii="Trebuchet MS" w:eastAsia="Trebuchet MS" w:hAnsi="Trebuchet MS" w:cs="Trebuchet MS"/>
        </w:rPr>
      </w:pPr>
      <w:r w:rsidRPr="00017497">
        <w:rPr>
          <w:rFonts w:ascii="Trebuchet MS" w:eastAsia="Trebuchet MS" w:hAnsi="Trebuchet MS" w:cs="Trebuchet MS"/>
        </w:rPr>
        <w:t>Situație de lucrări cu defalcarea următoare (unde este cazul):</w:t>
      </w:r>
    </w:p>
    <w:p w:rsidR="00963CD1" w:rsidRPr="00017497" w:rsidRDefault="006850AE">
      <w:pPr>
        <w:pStyle w:val="Listparagraf"/>
        <w:jc w:val="both"/>
        <w:rPr>
          <w:rFonts w:ascii="Trebuchet MS" w:eastAsia="Trebuchet MS" w:hAnsi="Trebuchet MS" w:cs="Trebuchet MS"/>
        </w:rPr>
      </w:pPr>
      <w:r w:rsidRPr="00017497">
        <w:rPr>
          <w:rFonts w:ascii="Trebuchet MS" w:eastAsia="Trebuchet MS" w:hAnsi="Trebuchet MS" w:cs="Trebuchet MS"/>
        </w:rPr>
        <w:t xml:space="preserve">– Cantitate de materiale </w:t>
      </w:r>
      <w:r w:rsidRPr="00017497">
        <w:rPr>
          <w:rFonts w:ascii="Trebuchet MS" w:eastAsia="Trebuchet MS" w:hAnsi="Trebuchet MS" w:cs="Trebuchet MS"/>
        </w:rPr>
        <w:t>desființate ....... mc/mp</w:t>
      </w:r>
    </w:p>
    <w:p w:rsidR="00963CD1" w:rsidRPr="00017497" w:rsidRDefault="006850AE">
      <w:pPr>
        <w:pStyle w:val="Listparagraf"/>
        <w:jc w:val="both"/>
        <w:rPr>
          <w:rFonts w:ascii="Trebuchet MS" w:eastAsia="Trebuchet MS" w:hAnsi="Trebuchet MS" w:cs="Trebuchet MS"/>
        </w:rPr>
      </w:pPr>
      <w:r w:rsidRPr="00017497">
        <w:rPr>
          <w:rFonts w:ascii="Trebuchet MS" w:eastAsia="Trebuchet MS" w:hAnsi="Trebuchet MS" w:cs="Trebuchet MS"/>
        </w:rPr>
        <w:t>– Cantitate de materiale reutilizate ....... mc/mp</w:t>
      </w:r>
    </w:p>
    <w:p w:rsidR="00963CD1" w:rsidRPr="00017497" w:rsidRDefault="006850AE">
      <w:pPr>
        <w:pStyle w:val="Listparagraf"/>
        <w:jc w:val="both"/>
        <w:rPr>
          <w:rFonts w:ascii="Trebuchet MS" w:eastAsia="Trebuchet MS" w:hAnsi="Trebuchet MS" w:cs="Trebuchet MS"/>
        </w:rPr>
      </w:pPr>
      <w:r w:rsidRPr="00017497">
        <w:rPr>
          <w:rFonts w:ascii="Trebuchet MS" w:eastAsia="Trebuchet MS" w:hAnsi="Trebuchet MS" w:cs="Trebuchet MS"/>
        </w:rPr>
        <w:t>– Cantitate de materiale reciclate ....... mc/mp</w:t>
      </w:r>
    </w:p>
    <w:p w:rsidR="00963CD1" w:rsidRPr="00017497" w:rsidRDefault="006850AE">
      <w:pPr>
        <w:pStyle w:val="Listparagraf"/>
        <w:jc w:val="both"/>
        <w:rPr>
          <w:rFonts w:ascii="Trebuchet MS" w:eastAsia="Trebuchet MS" w:hAnsi="Trebuchet MS" w:cs="Trebuchet MS"/>
        </w:rPr>
      </w:pPr>
      <w:r w:rsidRPr="00017497">
        <w:rPr>
          <w:rFonts w:ascii="Trebuchet MS" w:eastAsia="Trebuchet MS" w:hAnsi="Trebuchet MS" w:cs="Trebuchet MS"/>
        </w:rPr>
        <w:t>– Cantitate de deșeuri ....... mc/mp</w:t>
      </w:r>
    </w:p>
    <w:p w:rsidR="00963CD1" w:rsidRPr="00017497" w:rsidRDefault="006850AE">
      <w:pPr>
        <w:pStyle w:val="Listparagraf"/>
        <w:numPr>
          <w:ilvl w:val="0"/>
          <w:numId w:val="6"/>
        </w:numPr>
        <w:jc w:val="both"/>
        <w:rPr>
          <w:rFonts w:ascii="Trebuchet MS" w:eastAsia="Trebuchet MS" w:hAnsi="Trebuchet MS" w:cs="Trebuchet MS"/>
        </w:rPr>
      </w:pPr>
      <w:r w:rsidRPr="00017497">
        <w:rPr>
          <w:rFonts w:ascii="Trebuchet MS" w:eastAsia="Trebuchet MS" w:hAnsi="Trebuchet MS" w:cs="Trebuchet MS"/>
        </w:rPr>
        <w:t>Evidenta gestiunii deseurilor lunar asa cum este prevazuta in Anexa 2 din H</w:t>
      </w:r>
      <w:r w:rsidRPr="00017497">
        <w:rPr>
          <w:rFonts w:ascii="Trebuchet MS" w:eastAsia="Trebuchet MS" w:hAnsi="Trebuchet MS" w:cs="Trebuchet MS"/>
        </w:rPr>
        <w:t>.</w:t>
      </w:r>
      <w:r w:rsidRPr="00017497">
        <w:rPr>
          <w:rFonts w:ascii="Trebuchet MS" w:eastAsia="Trebuchet MS" w:hAnsi="Trebuchet MS" w:cs="Trebuchet MS"/>
        </w:rPr>
        <w:t>G</w:t>
      </w:r>
      <w:r w:rsidRPr="00017497">
        <w:rPr>
          <w:rFonts w:ascii="Trebuchet MS" w:eastAsia="Trebuchet MS" w:hAnsi="Trebuchet MS" w:cs="Trebuchet MS"/>
        </w:rPr>
        <w:t>.</w:t>
      </w:r>
      <w:r w:rsidRPr="00017497">
        <w:rPr>
          <w:rFonts w:ascii="Trebuchet MS" w:eastAsia="Trebuchet MS" w:hAnsi="Trebuchet MS" w:cs="Trebuchet MS"/>
        </w:rPr>
        <w:t xml:space="preserve"> </w:t>
      </w:r>
      <w:r w:rsidRPr="00017497">
        <w:rPr>
          <w:rFonts w:ascii="Trebuchet MS" w:eastAsia="Trebuchet MS" w:hAnsi="Trebuchet MS" w:cs="Trebuchet MS"/>
        </w:rPr>
        <w:t xml:space="preserve">nr. </w:t>
      </w:r>
      <w:r w:rsidRPr="00017497">
        <w:rPr>
          <w:rFonts w:ascii="Trebuchet MS" w:eastAsia="Trebuchet MS" w:hAnsi="Trebuchet MS" w:cs="Trebuchet MS"/>
        </w:rPr>
        <w:t>856/2002 p</w:t>
      </w:r>
      <w:r w:rsidRPr="00017497">
        <w:rPr>
          <w:rFonts w:ascii="Trebuchet MS" w:eastAsia="Trebuchet MS" w:hAnsi="Trebuchet MS" w:cs="Trebuchet MS"/>
        </w:rPr>
        <w:t>rivind evidenta gestiunii deșeurilor și pentru aprobarea listei cuprinzând deșeurile, inclusiv deșeurile periculoase, pentru fiecare categorie de deseu generata</w:t>
      </w:r>
    </w:p>
    <w:p w:rsidR="00963CD1" w:rsidRPr="00017497" w:rsidRDefault="006850AE">
      <w:pPr>
        <w:pStyle w:val="Listparagraf"/>
        <w:numPr>
          <w:ilvl w:val="0"/>
          <w:numId w:val="6"/>
        </w:numPr>
        <w:jc w:val="both"/>
        <w:rPr>
          <w:rFonts w:ascii="Trebuchet MS" w:eastAsia="Trebuchet MS" w:hAnsi="Trebuchet MS" w:cs="Trebuchet MS"/>
        </w:rPr>
      </w:pPr>
      <w:r w:rsidRPr="00017497">
        <w:rPr>
          <w:rFonts w:ascii="Trebuchet MS" w:eastAsia="Trebuchet MS" w:hAnsi="Trebuchet MS" w:cs="Trebuchet MS"/>
        </w:rPr>
        <w:t xml:space="preserve">Formulare prevazute </w:t>
      </w:r>
      <w:r w:rsidRPr="00017497">
        <w:rPr>
          <w:rFonts w:ascii="Trebuchet MS" w:eastAsia="Trebuchet MS" w:hAnsi="Trebuchet MS" w:cs="Trebuchet MS"/>
        </w:rPr>
        <w:t>î</w:t>
      </w:r>
      <w:r w:rsidRPr="00017497">
        <w:rPr>
          <w:rFonts w:ascii="Trebuchet MS" w:eastAsia="Trebuchet MS" w:hAnsi="Trebuchet MS" w:cs="Trebuchet MS"/>
        </w:rPr>
        <w:t>n H</w:t>
      </w:r>
      <w:r w:rsidRPr="00017497">
        <w:rPr>
          <w:rFonts w:ascii="Trebuchet MS" w:eastAsia="Trebuchet MS" w:hAnsi="Trebuchet MS" w:cs="Trebuchet MS"/>
        </w:rPr>
        <w:t>.</w:t>
      </w:r>
      <w:r w:rsidRPr="00017497">
        <w:rPr>
          <w:rFonts w:ascii="Trebuchet MS" w:eastAsia="Trebuchet MS" w:hAnsi="Trebuchet MS" w:cs="Trebuchet MS"/>
        </w:rPr>
        <w:t>G</w:t>
      </w:r>
      <w:r w:rsidRPr="00017497">
        <w:rPr>
          <w:rFonts w:ascii="Trebuchet MS" w:eastAsia="Trebuchet MS" w:hAnsi="Trebuchet MS" w:cs="Trebuchet MS"/>
        </w:rPr>
        <w:t>.</w:t>
      </w:r>
      <w:r w:rsidRPr="00017497">
        <w:rPr>
          <w:rFonts w:ascii="Trebuchet MS" w:eastAsia="Trebuchet MS" w:hAnsi="Trebuchet MS" w:cs="Trebuchet MS"/>
        </w:rPr>
        <w:t xml:space="preserve"> </w:t>
      </w:r>
      <w:r w:rsidRPr="00017497">
        <w:rPr>
          <w:rFonts w:ascii="Trebuchet MS" w:eastAsia="Trebuchet MS" w:hAnsi="Trebuchet MS" w:cs="Trebuchet MS"/>
        </w:rPr>
        <w:t xml:space="preserve">nr. </w:t>
      </w:r>
      <w:r w:rsidRPr="00017497">
        <w:rPr>
          <w:rFonts w:ascii="Trebuchet MS" w:eastAsia="Trebuchet MS" w:hAnsi="Trebuchet MS" w:cs="Trebuchet MS"/>
        </w:rPr>
        <w:t>1061/2008 privind transportul deșeurilor periculoase și neperic</w:t>
      </w:r>
      <w:r w:rsidRPr="00017497">
        <w:rPr>
          <w:rFonts w:ascii="Trebuchet MS" w:eastAsia="Trebuchet MS" w:hAnsi="Trebuchet MS" w:cs="Trebuchet MS"/>
        </w:rPr>
        <w:t>uloase pe teritoriul României, pentru fiecare categorie de deseu in parte (formulare de incarcare/descarcare; formulare de expeditie transport; formular pentru aprobarea transportului deseurilor periculoase</w:t>
      </w:r>
    </w:p>
    <w:p w:rsidR="00963CD1" w:rsidRPr="00017497" w:rsidRDefault="006850AE">
      <w:pPr>
        <w:pStyle w:val="Listparagraf"/>
        <w:numPr>
          <w:ilvl w:val="0"/>
          <w:numId w:val="6"/>
        </w:numPr>
        <w:jc w:val="both"/>
        <w:rPr>
          <w:rFonts w:ascii="Trebuchet MS" w:eastAsia="Trebuchet MS" w:hAnsi="Trebuchet MS" w:cs="Trebuchet MS"/>
        </w:rPr>
      </w:pPr>
      <w:r w:rsidRPr="00017497">
        <w:rPr>
          <w:rFonts w:ascii="Trebuchet MS" w:eastAsia="Trebuchet MS" w:hAnsi="Trebuchet MS" w:cs="Trebuchet MS"/>
        </w:rPr>
        <w:t>Declarații de performanță pentru produsele pentru</w:t>
      </w:r>
      <w:r w:rsidRPr="00017497">
        <w:rPr>
          <w:rFonts w:ascii="Trebuchet MS" w:eastAsia="Trebuchet MS" w:hAnsi="Trebuchet MS" w:cs="Trebuchet MS"/>
        </w:rPr>
        <w:t xml:space="preserve"> construcții, întocmite de producători, sau declarații de conformitate (dacă sunt utilizate produse pentru construcții care fac obiectul unei specificații tehnice nearmonizate) sau agrement tehnic în construcții (dacă sunt utilizate produse pentru construc</w:t>
      </w:r>
      <w:r w:rsidRPr="00017497">
        <w:rPr>
          <w:rFonts w:ascii="Trebuchet MS" w:eastAsia="Trebuchet MS" w:hAnsi="Trebuchet MS" w:cs="Trebuchet MS"/>
        </w:rPr>
        <w:t>ț</w:t>
      </w:r>
      <w:r w:rsidRPr="00017497">
        <w:rPr>
          <w:rFonts w:ascii="Trebuchet MS" w:eastAsia="Trebuchet MS" w:hAnsi="Trebuchet MS" w:cs="Trebuchet MS"/>
        </w:rPr>
        <w:t>ii pentru care nu există specificații tehnice armonizate sau specificații tehnice nearmonizate)</w:t>
      </w:r>
    </w:p>
    <w:p w:rsidR="00963CD1" w:rsidRPr="00017497" w:rsidRDefault="006850AE">
      <w:pPr>
        <w:pStyle w:val="Listparagraf"/>
        <w:numPr>
          <w:ilvl w:val="0"/>
          <w:numId w:val="6"/>
        </w:numPr>
        <w:jc w:val="both"/>
        <w:rPr>
          <w:rFonts w:ascii="Trebuchet MS" w:eastAsia="Trebuchet MS" w:hAnsi="Trebuchet MS" w:cs="Trebuchet MS"/>
        </w:rPr>
      </w:pPr>
      <w:r w:rsidRPr="00017497">
        <w:rPr>
          <w:rFonts w:ascii="Trebuchet MS" w:eastAsia="Trebuchet MS" w:hAnsi="Trebuchet MS" w:cs="Trebuchet MS"/>
        </w:rPr>
        <w:t>Fișă cu date de securitate ale produselor (conform Regulament UE 2015/830)</w:t>
      </w:r>
    </w:p>
    <w:p w:rsidR="00963CD1" w:rsidRPr="00017497" w:rsidRDefault="006850AE">
      <w:pPr>
        <w:pStyle w:val="Listparagraf"/>
        <w:numPr>
          <w:ilvl w:val="0"/>
          <w:numId w:val="6"/>
        </w:numPr>
        <w:jc w:val="both"/>
        <w:rPr>
          <w:rFonts w:ascii="Trebuchet MS" w:eastAsia="Trebuchet MS" w:hAnsi="Trebuchet MS" w:cs="Trebuchet MS"/>
        </w:rPr>
      </w:pPr>
      <w:r w:rsidRPr="00017497">
        <w:rPr>
          <w:rFonts w:ascii="Trebuchet MS" w:eastAsia="Trebuchet MS" w:hAnsi="Trebuchet MS" w:cs="Trebuchet MS"/>
        </w:rPr>
        <w:t xml:space="preserve">Fișe tehnice ale echipamentelor folosite la sistemele tehnice ale clădirii - dovada </w:t>
      </w:r>
      <w:r w:rsidRPr="00017497">
        <w:rPr>
          <w:rFonts w:ascii="Trebuchet MS" w:eastAsia="Trebuchet MS" w:hAnsi="Trebuchet MS" w:cs="Trebuchet MS"/>
        </w:rPr>
        <w:t>consumului redus de energie, respectiv posibilitatea utilizării energiei regenerabile, declarațiile de conformitate</w:t>
      </w:r>
    </w:p>
    <w:p w:rsidR="00963CD1" w:rsidRPr="00017497" w:rsidRDefault="006850AE">
      <w:pPr>
        <w:pStyle w:val="Listparagraf"/>
        <w:numPr>
          <w:ilvl w:val="0"/>
          <w:numId w:val="6"/>
        </w:numPr>
        <w:jc w:val="both"/>
        <w:rPr>
          <w:rFonts w:ascii="Trebuchet MS" w:eastAsia="Trebuchet MS" w:hAnsi="Trebuchet MS" w:cs="Trebuchet MS"/>
        </w:rPr>
      </w:pPr>
      <w:r w:rsidRPr="00017497">
        <w:rPr>
          <w:rFonts w:ascii="Trebuchet MS" w:eastAsia="Trebuchet MS" w:hAnsi="Trebuchet MS" w:cs="Trebuchet MS"/>
        </w:rPr>
        <w:t>Fișe tehnice ale utilajelor utilizate - măsuri de reducerea poluării</w:t>
      </w:r>
    </w:p>
    <w:p w:rsidR="00963CD1" w:rsidRPr="00017497" w:rsidRDefault="006850AE">
      <w:pPr>
        <w:jc w:val="both"/>
        <w:rPr>
          <w:rFonts w:ascii="Trebuchet MS" w:hAnsi="Trebuchet MS"/>
        </w:rPr>
      </w:pPr>
      <w:r w:rsidRPr="00017497">
        <w:rPr>
          <w:rFonts w:ascii="Trebuchet MS" w:hAnsi="Trebuchet MS"/>
        </w:rPr>
        <w:t>Neprezentarea documentelor menționate anterior sau neîndeplinirea oblig</w:t>
      </w:r>
      <w:r w:rsidRPr="00017497">
        <w:rPr>
          <w:rFonts w:ascii="Trebuchet MS" w:hAnsi="Trebuchet MS"/>
        </w:rPr>
        <w:t>ațiilor cu privire la respectarea principiilor DNSH sau a oricăror alte cerințe specifice ghidurilor atrag rezilierea contractelor și aplicarea de daune interese egale cu contravaloarea finanțării sau a corecțiilor aplicate de către autoritățile competente</w:t>
      </w:r>
      <w:r w:rsidRPr="00017497">
        <w:rPr>
          <w:rFonts w:ascii="Trebuchet MS" w:hAnsi="Trebuchet MS"/>
        </w:rPr>
        <w:t>.</w:t>
      </w:r>
    </w:p>
    <w:sectPr w:rsidR="00963CD1" w:rsidRPr="00017497" w:rsidSect="00017497">
      <w:footerReference w:type="default" r:id="rId7"/>
      <w:pgSz w:w="11907" w:h="16839"/>
      <w:pgMar w:top="709" w:right="843" w:bottom="851" w:left="1134"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0AE" w:rsidRDefault="006850AE">
      <w:pPr>
        <w:spacing w:line="240" w:lineRule="auto"/>
      </w:pPr>
      <w:r>
        <w:separator/>
      </w:r>
    </w:p>
  </w:endnote>
  <w:endnote w:type="continuationSeparator" w:id="0">
    <w:p w:rsidR="006850AE" w:rsidRDefault="00685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default"/>
    <w:sig w:usb0="E1002EFF" w:usb1="C000605B" w:usb2="00000029" w:usb3="00000000" w:csb0="200101FF" w:csb1="2028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156446"/>
    </w:sdtPr>
    <w:sdtEndPr/>
    <w:sdtContent>
      <w:p w:rsidR="00963CD1" w:rsidRDefault="006850AE">
        <w:pPr>
          <w:pStyle w:val="Subsol"/>
          <w:jc w:val="right"/>
        </w:pPr>
        <w:r>
          <w:fldChar w:fldCharType="begin"/>
        </w:r>
        <w:r>
          <w:instrText>PAGE   \* MERGEFORMAT</w:instrText>
        </w:r>
        <w:r>
          <w:fldChar w:fldCharType="separate"/>
        </w:r>
        <w:r w:rsidR="00017497">
          <w:rPr>
            <w:noProof/>
          </w:rPr>
          <w:t>1</w:t>
        </w:r>
        <w:r>
          <w:fldChar w:fldCharType="end"/>
        </w:r>
      </w:p>
    </w:sdtContent>
  </w:sdt>
  <w:p w:rsidR="00963CD1" w:rsidRDefault="00963C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0AE" w:rsidRDefault="006850AE">
      <w:pPr>
        <w:spacing w:after="0"/>
      </w:pPr>
      <w:r>
        <w:separator/>
      </w:r>
    </w:p>
  </w:footnote>
  <w:footnote w:type="continuationSeparator" w:id="0">
    <w:p w:rsidR="006850AE" w:rsidRDefault="006850A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13D83"/>
    <w:multiLevelType w:val="multilevel"/>
    <w:tmpl w:val="08513D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BC1ABB"/>
    <w:multiLevelType w:val="multilevel"/>
    <w:tmpl w:val="11BC1ABB"/>
    <w:lvl w:ilvl="0">
      <w:start w:val="4"/>
      <w:numFmt w:val="bullet"/>
      <w:lvlText w:val="-"/>
      <w:lvlJc w:val="left"/>
      <w:pPr>
        <w:ind w:left="720" w:hanging="360"/>
      </w:pPr>
      <w:rPr>
        <w:rFonts w:ascii="Arial" w:eastAsia="Arial" w:hAnsi="Arial" w:cs="Arial"/>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1852B0"/>
    <w:multiLevelType w:val="multilevel"/>
    <w:tmpl w:val="161852B0"/>
    <w:lvl w:ilvl="0">
      <w:start w:val="4"/>
      <w:numFmt w:val="bullet"/>
      <w:lvlText w:val="-"/>
      <w:lvlJc w:val="left"/>
      <w:pPr>
        <w:ind w:left="720" w:hanging="360"/>
      </w:pPr>
      <w:rPr>
        <w:rFonts w:ascii="Arial" w:eastAsiaTheme="minorHAnsi" w:hAnsi="Arial" w:cs="Aria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2A7765"/>
    <w:multiLevelType w:val="multilevel"/>
    <w:tmpl w:val="432A77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C1720C"/>
    <w:multiLevelType w:val="multilevel"/>
    <w:tmpl w:val="47C1720C"/>
    <w:lvl w:ilvl="0">
      <w:start w:val="1"/>
      <w:numFmt w:val="bullet"/>
      <w:pStyle w:val="bullet"/>
      <w:lvlText w:val=""/>
      <w:lvlJc w:val="left"/>
      <w:pPr>
        <w:tabs>
          <w:tab w:val="left" w:pos="720"/>
        </w:tabs>
        <w:ind w:left="720" w:hanging="360"/>
      </w:pPr>
      <w:rPr>
        <w:rFonts w:ascii="Wingdings" w:hAnsi="Wingdings" w:hint="default"/>
        <w:color w:val="808080"/>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pStyle w:val="Cuprins8"/>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BEF5623"/>
    <w:multiLevelType w:val="multilevel"/>
    <w:tmpl w:val="4BEF5623"/>
    <w:lvl w:ilvl="0">
      <w:start w:val="1"/>
      <w:numFmt w:val="decimal"/>
      <w:lvlText w:val="%1."/>
      <w:lvlJc w:val="left"/>
      <w:pPr>
        <w:ind w:left="720" w:hanging="360"/>
      </w:pPr>
      <w:rPr>
        <w:rFonts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A4"/>
    <w:rsid w:val="00017497"/>
    <w:rsid w:val="0002691F"/>
    <w:rsid w:val="0004013E"/>
    <w:rsid w:val="000819E0"/>
    <w:rsid w:val="00232837"/>
    <w:rsid w:val="00265664"/>
    <w:rsid w:val="002967A4"/>
    <w:rsid w:val="003B55D2"/>
    <w:rsid w:val="003D1938"/>
    <w:rsid w:val="00553E99"/>
    <w:rsid w:val="005F3D65"/>
    <w:rsid w:val="00657236"/>
    <w:rsid w:val="006850AE"/>
    <w:rsid w:val="00746F73"/>
    <w:rsid w:val="00764553"/>
    <w:rsid w:val="007A19F8"/>
    <w:rsid w:val="00900676"/>
    <w:rsid w:val="00963CD1"/>
    <w:rsid w:val="00A94FCA"/>
    <w:rsid w:val="00BA21D1"/>
    <w:rsid w:val="00CA6362"/>
    <w:rsid w:val="00EE496E"/>
    <w:rsid w:val="107D31FF"/>
    <w:rsid w:val="118B1DE6"/>
    <w:rsid w:val="18F465E3"/>
    <w:rsid w:val="1CC95CE3"/>
    <w:rsid w:val="7AB11F8D"/>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BA54E1-7822-4B98-950F-26F3FE2E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after="0" w:line="240" w:lineRule="auto"/>
    </w:pPr>
    <w:rPr>
      <w:rFonts w:ascii="Tahoma" w:hAnsi="Tahoma" w:cs="Tahoma"/>
      <w:sz w:val="16"/>
      <w:szCs w:val="16"/>
    </w:rPr>
  </w:style>
  <w:style w:type="paragraph" w:styleId="Subsol">
    <w:name w:val="footer"/>
    <w:basedOn w:val="Normal"/>
    <w:link w:val="SubsolCaracter"/>
    <w:uiPriority w:val="99"/>
    <w:unhideWhenUsed/>
    <w:qFormat/>
    <w:pPr>
      <w:tabs>
        <w:tab w:val="center" w:pos="4536"/>
        <w:tab w:val="right" w:pos="9072"/>
      </w:tabs>
      <w:spacing w:after="0" w:line="240" w:lineRule="auto"/>
    </w:pPr>
  </w:style>
  <w:style w:type="paragraph" w:styleId="Antet">
    <w:name w:val="header"/>
    <w:basedOn w:val="Normal"/>
    <w:link w:val="AntetCaracter"/>
    <w:uiPriority w:val="99"/>
    <w:unhideWhenUsed/>
    <w:qFormat/>
    <w:pPr>
      <w:tabs>
        <w:tab w:val="center" w:pos="4536"/>
        <w:tab w:val="right" w:pos="9072"/>
      </w:tabs>
      <w:spacing w:after="0" w:line="240" w:lineRule="auto"/>
    </w:pPr>
  </w:style>
  <w:style w:type="paragraph" w:styleId="Cuprins8">
    <w:name w:val="toc 8"/>
    <w:basedOn w:val="Normal"/>
    <w:next w:val="Normal"/>
    <w:uiPriority w:val="39"/>
    <w:semiHidden/>
    <w:unhideWhenUsed/>
    <w:qFormat/>
    <w:pPr>
      <w:numPr>
        <w:ilvl w:val="4"/>
        <w:numId w:val="1"/>
      </w:numPr>
      <w:spacing w:before="120" w:after="120" w:line="240" w:lineRule="auto"/>
      <w:jc w:val="both"/>
    </w:pPr>
    <w:rPr>
      <w:rFonts w:ascii="Trebuchet MS" w:eastAsia="Times New Roman" w:hAnsi="Trebuchet MS" w:cs="Times New Roman"/>
      <w:sz w:val="20"/>
      <w:szCs w:val="24"/>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paragraph" w:customStyle="1" w:styleId="bullet">
    <w:name w:val="bullet"/>
    <w:basedOn w:val="Normal"/>
    <w:qFormat/>
    <w:pPr>
      <w:numPr>
        <w:numId w:val="1"/>
      </w:numPr>
      <w:spacing w:before="120" w:after="120" w:line="240" w:lineRule="auto"/>
      <w:jc w:val="both"/>
    </w:pPr>
    <w:rPr>
      <w:rFonts w:ascii="Trebuchet MS" w:eastAsia="Times New Roman" w:hAnsi="Trebuchet MS" w:cs="Arial"/>
      <w:sz w:val="20"/>
      <w:szCs w:val="24"/>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 w:type="paragraph" w:styleId="List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2173</Words>
  <Characters>12608</Characters>
  <Application>Microsoft Office Word</Application>
  <DocSecurity>0</DocSecurity>
  <Lines>105</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Gobiaja</dc:creator>
  <cp:lastModifiedBy>Biroul Achizitii Publice</cp:lastModifiedBy>
  <cp:revision>2</cp:revision>
  <cp:lastPrinted>2022-11-14T08:25:00Z</cp:lastPrinted>
  <dcterms:created xsi:type="dcterms:W3CDTF">2023-04-19T07:48:00Z</dcterms:created>
  <dcterms:modified xsi:type="dcterms:W3CDTF">2023-04-19T07:48:00Z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929460AD9FDB408BB44716A871C1469B</vt:lpwstr>
  </property>
</Properties>
</file>