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BF62" w14:textId="10244A17" w:rsidR="00D51DF2" w:rsidRPr="00047D61" w:rsidRDefault="00D51DF2" w:rsidP="00D51DF2">
      <w:pPr>
        <w:spacing w:line="360" w:lineRule="auto"/>
        <w:jc w:val="center"/>
        <w:rPr>
          <w:rFonts w:ascii="Arial" w:hAnsi="Arial" w:cs="Arial"/>
          <w:b/>
        </w:rPr>
      </w:pPr>
      <w:r w:rsidRPr="00000762">
        <w:rPr>
          <w:rFonts w:ascii="Arial" w:hAnsi="Arial" w:cs="Arial"/>
          <w:b/>
          <w:lang w:val="pt-BR"/>
        </w:rPr>
        <w:t xml:space="preserve">   </w:t>
      </w:r>
    </w:p>
    <w:p w14:paraId="2CF207C7" w14:textId="77777777" w:rsidR="00D51DF2" w:rsidRDefault="00D51DF2" w:rsidP="003F0807">
      <w:pPr>
        <w:jc w:val="right"/>
      </w:pPr>
    </w:p>
    <w:p w14:paraId="5C2115A3" w14:textId="4627163F" w:rsidR="00D20D2B" w:rsidRDefault="00932B0A" w:rsidP="00932B0A">
      <w:r>
        <w:t xml:space="preserve">DIT </w:t>
      </w:r>
      <w:r w:rsidR="00A276B0">
        <w:t xml:space="preserve">  </w:t>
      </w:r>
      <w:r w:rsidR="002571A7">
        <w:rPr>
          <w:lang w:val="en-US"/>
        </w:rPr>
        <w:t>…………………..</w:t>
      </w:r>
    </w:p>
    <w:p w14:paraId="7C47FED4" w14:textId="77777777" w:rsidR="00795D39" w:rsidRPr="00F4703D" w:rsidRDefault="00795D39" w:rsidP="003F0807">
      <w:pPr>
        <w:jc w:val="right"/>
      </w:pPr>
    </w:p>
    <w:p w14:paraId="71080B71" w14:textId="77777777" w:rsidR="00D51DF2" w:rsidRPr="00F4703D" w:rsidRDefault="00D51DF2" w:rsidP="00D20D2B">
      <w:pPr>
        <w:jc w:val="center"/>
      </w:pPr>
      <w:r w:rsidRPr="00F4703D">
        <w:t>PROCES</w:t>
      </w:r>
      <w:r w:rsidR="00A9220B" w:rsidRPr="00F4703D">
        <w:t xml:space="preserve"> </w:t>
      </w:r>
      <w:r w:rsidRPr="00F4703D">
        <w:t>- VERBAL</w:t>
      </w:r>
    </w:p>
    <w:p w14:paraId="5CABD4C7" w14:textId="77777777" w:rsidR="00D51DF2" w:rsidRPr="00F4703D" w:rsidRDefault="00D51DF2" w:rsidP="00BE1D8F">
      <w:pPr>
        <w:spacing w:line="360" w:lineRule="auto"/>
        <w:jc w:val="center"/>
      </w:pPr>
      <w:r w:rsidRPr="00F4703D">
        <w:t xml:space="preserve">de </w:t>
      </w:r>
      <w:proofErr w:type="spellStart"/>
      <w:r w:rsidRPr="00F4703D">
        <w:t>recepţie</w:t>
      </w:r>
      <w:proofErr w:type="spellEnd"/>
      <w:r w:rsidRPr="00F4703D">
        <w:t xml:space="preserve"> cantitativă </w:t>
      </w:r>
      <w:proofErr w:type="spellStart"/>
      <w:r w:rsidRPr="00F4703D">
        <w:t>şi</w:t>
      </w:r>
      <w:proofErr w:type="spellEnd"/>
      <w:r w:rsidRPr="00F4703D">
        <w:t xml:space="preserve"> calitativă</w:t>
      </w:r>
    </w:p>
    <w:p w14:paraId="6AD689FC" w14:textId="2B9CA103" w:rsidR="00FA0952" w:rsidRDefault="004314F2" w:rsidP="00DC14A4">
      <w:pPr>
        <w:spacing w:line="360" w:lineRule="auto"/>
        <w:jc w:val="center"/>
      </w:pPr>
      <w:r w:rsidRPr="00F4703D">
        <w:t xml:space="preserve">a </w:t>
      </w:r>
      <w:r w:rsidR="00FA0952">
        <w:t xml:space="preserve">serviciilor </w:t>
      </w:r>
      <w:r w:rsidR="009459D7">
        <w:t xml:space="preserve">de </w:t>
      </w:r>
      <w:proofErr w:type="spellStart"/>
      <w:r w:rsidR="00FA0952">
        <w:t>mentenanta</w:t>
      </w:r>
      <w:proofErr w:type="spellEnd"/>
      <w:r w:rsidR="00FA0952">
        <w:t xml:space="preserve"> si suport </w:t>
      </w:r>
      <w:r w:rsidR="009459D7">
        <w:t xml:space="preserve">hardware si software </w:t>
      </w:r>
      <w:r w:rsidR="00FA0952">
        <w:t>in cadrul contractului</w:t>
      </w:r>
    </w:p>
    <w:p w14:paraId="7E80B1F3" w14:textId="648DC74F" w:rsidR="00DC14A4" w:rsidRDefault="00705BDA" w:rsidP="00DC14A4">
      <w:pPr>
        <w:spacing w:line="360" w:lineRule="auto"/>
        <w:jc w:val="center"/>
      </w:pPr>
      <w:r>
        <w:t>„</w:t>
      </w:r>
      <w:r w:rsidR="002571A7" w:rsidRPr="002571A7">
        <w:t xml:space="preserve">Servicii suport software Oracle pentru licențele existente ale APIA incluzând actualizări, </w:t>
      </w:r>
      <w:proofErr w:type="spellStart"/>
      <w:r w:rsidR="002571A7" w:rsidRPr="002571A7">
        <w:t>patch</w:t>
      </w:r>
      <w:proofErr w:type="spellEnd"/>
      <w:r w:rsidR="002571A7" w:rsidRPr="002571A7">
        <w:t xml:space="preserve">-uri de securitate, intervenții tehnice și consultanță pentru optimizarea utilizării produselor Oracle </w:t>
      </w:r>
      <w:proofErr w:type="spellStart"/>
      <w:r w:rsidR="002571A7" w:rsidRPr="002571A7">
        <w:t>licentiate</w:t>
      </w:r>
      <w:proofErr w:type="spellEnd"/>
      <w:r w:rsidR="00DC14A4">
        <w:t>”</w:t>
      </w:r>
    </w:p>
    <w:p w14:paraId="77744179" w14:textId="2773418C" w:rsidR="00DC14A4" w:rsidRDefault="00DC14A4" w:rsidP="00DC14A4">
      <w:pPr>
        <w:spacing w:line="360" w:lineRule="auto"/>
        <w:jc w:val="center"/>
      </w:pPr>
      <w:r>
        <w:t xml:space="preserve">conform Contract nr. </w:t>
      </w:r>
      <w:r w:rsidR="002571A7">
        <w:t>.........</w:t>
      </w:r>
      <w:r>
        <w:t xml:space="preserve"> din </w:t>
      </w:r>
      <w:r w:rsidR="002571A7">
        <w:t>..........................</w:t>
      </w:r>
    </w:p>
    <w:p w14:paraId="0BA66C3B" w14:textId="0A92DB25" w:rsidR="002571A7" w:rsidRDefault="002571A7" w:rsidP="00DC14A4">
      <w:pPr>
        <w:spacing w:line="360" w:lineRule="auto"/>
        <w:jc w:val="center"/>
      </w:pPr>
    </w:p>
    <w:p w14:paraId="3EEDC766" w14:textId="77777777" w:rsidR="002571A7" w:rsidRDefault="002571A7" w:rsidP="00DC14A4">
      <w:pPr>
        <w:spacing w:line="360" w:lineRule="auto"/>
        <w:jc w:val="center"/>
      </w:pPr>
    </w:p>
    <w:p w14:paraId="6D2CF327" w14:textId="3DAFB868" w:rsidR="00FA0952" w:rsidRDefault="00D51DF2" w:rsidP="00FA0952">
      <w:pPr>
        <w:spacing w:before="180" w:after="180" w:line="276" w:lineRule="auto"/>
        <w:jc w:val="both"/>
      </w:pPr>
      <w:r w:rsidRPr="00F4703D">
        <w:rPr>
          <w:noProof/>
        </w:rPr>
        <w:t xml:space="preserve">Comisia de recepţie a </w:t>
      </w:r>
      <w:r w:rsidR="004314F2" w:rsidRPr="00F4703D">
        <w:rPr>
          <w:noProof/>
        </w:rPr>
        <w:t xml:space="preserve">lucrărilor și serviciilor </w:t>
      </w:r>
      <w:r w:rsidRPr="00F4703D">
        <w:rPr>
          <w:noProof/>
        </w:rPr>
        <w:t xml:space="preserve">din partea </w:t>
      </w:r>
      <w:r w:rsidRPr="00F4703D">
        <w:rPr>
          <w:lang w:val="it-IT"/>
        </w:rPr>
        <w:t>Agenţiei de Plăţi şi Intervenţie pentru Agricultură</w:t>
      </w:r>
      <w:r w:rsidRPr="00F4703D">
        <w:rPr>
          <w:noProof/>
        </w:rPr>
        <w:t xml:space="preserve"> </w:t>
      </w:r>
      <w:r w:rsidR="00413D97" w:rsidRPr="00F4703D">
        <w:rPr>
          <w:noProof/>
        </w:rPr>
        <w:t>–</w:t>
      </w:r>
      <w:r w:rsidRPr="00F4703D">
        <w:rPr>
          <w:noProof/>
        </w:rPr>
        <w:t xml:space="preserve"> </w:t>
      </w:r>
      <w:r w:rsidR="00C507EC">
        <w:rPr>
          <w:noProof/>
        </w:rPr>
        <w:t>Sediul</w:t>
      </w:r>
      <w:r w:rsidR="00CF0B8E" w:rsidRPr="00F4703D">
        <w:rPr>
          <w:noProof/>
        </w:rPr>
        <w:t xml:space="preserve"> C</w:t>
      </w:r>
      <w:r w:rsidR="00413D97" w:rsidRPr="00F4703D">
        <w:rPr>
          <w:noProof/>
        </w:rPr>
        <w:t>entral</w:t>
      </w:r>
      <w:r w:rsidRPr="00F4703D">
        <w:rPr>
          <w:noProof/>
        </w:rPr>
        <w:t xml:space="preserve">, în calitate de ACHIZITOR, numită prin </w:t>
      </w:r>
      <w:r w:rsidR="00C507EC">
        <w:rPr>
          <w:noProof/>
        </w:rPr>
        <w:t>d</w:t>
      </w:r>
      <w:r w:rsidRPr="00F4703D">
        <w:rPr>
          <w:noProof/>
        </w:rPr>
        <w:t xml:space="preserve">ecizia </w:t>
      </w:r>
      <w:r w:rsidR="00413D97" w:rsidRPr="00F4703D">
        <w:rPr>
          <w:noProof/>
        </w:rPr>
        <w:t>d</w:t>
      </w:r>
      <w:r w:rsidRPr="00F4703D">
        <w:rPr>
          <w:noProof/>
        </w:rPr>
        <w:t xml:space="preserve">irectorului </w:t>
      </w:r>
      <w:r w:rsidR="00413D97" w:rsidRPr="00F4703D">
        <w:rPr>
          <w:noProof/>
        </w:rPr>
        <w:t>g</w:t>
      </w:r>
      <w:r w:rsidR="006B077D">
        <w:rPr>
          <w:noProof/>
        </w:rPr>
        <w:t xml:space="preserve">eneral nr. </w:t>
      </w:r>
      <w:r w:rsidR="002571A7">
        <w:rPr>
          <w:noProof/>
        </w:rPr>
        <w:t>.....................</w:t>
      </w:r>
      <w:r w:rsidR="00DC14A4">
        <w:rPr>
          <w:noProof/>
        </w:rPr>
        <w:t xml:space="preserve">, </w:t>
      </w:r>
      <w:r w:rsidR="00DC14A4">
        <w:t xml:space="preserve">a procedat astăzi, </w:t>
      </w:r>
      <w:r w:rsidR="002571A7">
        <w:rPr>
          <w:b/>
          <w:bCs/>
        </w:rPr>
        <w:t>......................</w:t>
      </w:r>
      <w:r w:rsidR="00DC14A4">
        <w:t xml:space="preserve"> la recepția cantitativă și calitativă a</w:t>
      </w:r>
      <w:r w:rsidR="000C0A91">
        <w:t>:</w:t>
      </w:r>
    </w:p>
    <w:p w14:paraId="2473412F" w14:textId="283E4004" w:rsidR="000C0A91" w:rsidRDefault="00FA0952" w:rsidP="00D73D59">
      <w:pPr>
        <w:spacing w:before="180" w:after="180" w:line="276" w:lineRule="auto"/>
        <w:jc w:val="both"/>
        <w:rPr>
          <w:bCs/>
          <w:szCs w:val="20"/>
        </w:rPr>
      </w:pPr>
      <w:r w:rsidRPr="00D73D59">
        <w:t>1.</w:t>
      </w:r>
      <w:r w:rsidR="00932B0A" w:rsidRPr="00D73D59">
        <w:rPr>
          <w:b/>
        </w:rPr>
        <w:t xml:space="preserve">Serviciilor </w:t>
      </w:r>
      <w:r w:rsidR="00D73D59">
        <w:rPr>
          <w:b/>
        </w:rPr>
        <w:t>de m</w:t>
      </w:r>
      <w:r w:rsidRPr="00D73D59">
        <w:rPr>
          <w:b/>
          <w:szCs w:val="20"/>
        </w:rPr>
        <w:t xml:space="preserve">entenanță și suport hardware și software de la producător pe o perioadă de minim </w:t>
      </w:r>
      <w:r w:rsidR="0002018A">
        <w:rPr>
          <w:b/>
          <w:szCs w:val="20"/>
        </w:rPr>
        <w:t>12</w:t>
      </w:r>
      <w:r w:rsidRPr="00D73D59">
        <w:rPr>
          <w:b/>
          <w:szCs w:val="20"/>
        </w:rPr>
        <w:t xml:space="preserve"> </w:t>
      </w:r>
      <w:r w:rsidR="0002018A">
        <w:rPr>
          <w:b/>
          <w:szCs w:val="20"/>
        </w:rPr>
        <w:t>luni</w:t>
      </w:r>
      <w:r w:rsidRPr="00D73D59">
        <w:rPr>
          <w:b/>
          <w:szCs w:val="20"/>
        </w:rPr>
        <w:t xml:space="preserve"> de la data </w:t>
      </w:r>
      <w:r w:rsidR="0002018A" w:rsidRPr="0002018A">
        <w:rPr>
          <w:b/>
          <w:szCs w:val="20"/>
        </w:rPr>
        <w:t>de la data semnării contractului</w:t>
      </w:r>
      <w:r w:rsidR="00F11FFD">
        <w:rPr>
          <w:b/>
          <w:szCs w:val="20"/>
        </w:rPr>
        <w:t xml:space="preserve">, </w:t>
      </w:r>
      <w:r w:rsidRPr="00D73D59">
        <w:rPr>
          <w:bCs/>
          <w:szCs w:val="20"/>
        </w:rPr>
        <w:t xml:space="preserve">conform cerințelor din Caietul de Sarcini </w:t>
      </w:r>
      <w:r w:rsidR="0002018A" w:rsidRPr="0002018A">
        <w:rPr>
          <w:bCs/>
          <w:szCs w:val="20"/>
        </w:rPr>
        <w:t>pentru echipamentul prezentat la cap. 3.1.1</w:t>
      </w:r>
      <w:r w:rsidR="00D73D59">
        <w:rPr>
          <w:bCs/>
          <w:szCs w:val="20"/>
        </w:rPr>
        <w:t xml:space="preserve">, parte integranta a contractului </w:t>
      </w:r>
      <w:r w:rsidR="00273AA4">
        <w:rPr>
          <w:bCs/>
          <w:szCs w:val="20"/>
        </w:rPr>
        <w:t>...............................</w:t>
      </w:r>
      <w:r w:rsidR="00D73D59">
        <w:rPr>
          <w:bCs/>
          <w:szCs w:val="20"/>
        </w:rPr>
        <w:t xml:space="preserve">. </w:t>
      </w:r>
    </w:p>
    <w:p w14:paraId="4691A188" w14:textId="19F9EFDA" w:rsidR="00D73D59" w:rsidRPr="00D73D59" w:rsidRDefault="00D73D59" w:rsidP="00D73D59">
      <w:pPr>
        <w:spacing w:before="180" w:after="180" w:line="276" w:lineRule="auto"/>
        <w:jc w:val="both"/>
        <w:rPr>
          <w:bCs/>
          <w:szCs w:val="20"/>
        </w:rPr>
      </w:pPr>
      <w:r w:rsidRPr="00D73D59">
        <w:rPr>
          <w:bCs/>
          <w:szCs w:val="20"/>
        </w:rPr>
        <w:t xml:space="preserve">Serviciile </w:t>
      </w:r>
      <w:r>
        <w:rPr>
          <w:bCs/>
          <w:szCs w:val="20"/>
        </w:rPr>
        <w:t xml:space="preserve">de </w:t>
      </w:r>
      <w:proofErr w:type="spellStart"/>
      <w:r>
        <w:rPr>
          <w:bCs/>
          <w:szCs w:val="20"/>
        </w:rPr>
        <w:t>mentenanta</w:t>
      </w:r>
      <w:proofErr w:type="spellEnd"/>
      <w:r>
        <w:rPr>
          <w:bCs/>
          <w:szCs w:val="20"/>
        </w:rPr>
        <w:t xml:space="preserve"> au fost prestate fiind asigurat niv</w:t>
      </w:r>
      <w:r w:rsidR="00497672">
        <w:rPr>
          <w:bCs/>
          <w:szCs w:val="20"/>
        </w:rPr>
        <w:t>e</w:t>
      </w:r>
      <w:r>
        <w:rPr>
          <w:bCs/>
          <w:szCs w:val="20"/>
        </w:rPr>
        <w:t xml:space="preserve">lul de SLA standard contractat pentru </w:t>
      </w:r>
      <w:proofErr w:type="spellStart"/>
      <w:r>
        <w:rPr>
          <w:bCs/>
          <w:szCs w:val="20"/>
        </w:rPr>
        <w:t>operatiunile</w:t>
      </w:r>
      <w:proofErr w:type="spellEnd"/>
      <w:r>
        <w:rPr>
          <w:bCs/>
          <w:szCs w:val="20"/>
        </w:rPr>
        <w:t xml:space="preserve"> de asistenta Premier Suport Oracle</w:t>
      </w:r>
      <w:r w:rsidR="00497672">
        <w:rPr>
          <w:bCs/>
          <w:szCs w:val="20"/>
        </w:rPr>
        <w:t xml:space="preserve">. Serviciile de </w:t>
      </w:r>
      <w:r w:rsidRPr="00D73D59">
        <w:rPr>
          <w:bCs/>
          <w:szCs w:val="20"/>
        </w:rPr>
        <w:t xml:space="preserve">suport au fost prestate în conformitate cu </w:t>
      </w:r>
      <w:proofErr w:type="spellStart"/>
      <w:r w:rsidRPr="00D73D59">
        <w:rPr>
          <w:bCs/>
          <w:szCs w:val="20"/>
        </w:rPr>
        <w:t>cerinţele</w:t>
      </w:r>
      <w:proofErr w:type="spellEnd"/>
      <w:r w:rsidRPr="00D73D59">
        <w:rPr>
          <w:bCs/>
          <w:szCs w:val="20"/>
        </w:rPr>
        <w:t xml:space="preserve"> agreate contractual, caietul de sarcini </w:t>
      </w:r>
      <w:proofErr w:type="spellStart"/>
      <w:r w:rsidRPr="00D73D59">
        <w:rPr>
          <w:bCs/>
          <w:szCs w:val="20"/>
        </w:rPr>
        <w:t>şi</w:t>
      </w:r>
      <w:proofErr w:type="spellEnd"/>
      <w:r w:rsidRPr="00D73D59">
        <w:rPr>
          <w:bCs/>
          <w:szCs w:val="20"/>
        </w:rPr>
        <w:t xml:space="preserve"> oferta Contractantului. Serviciile de suport s-au </w:t>
      </w:r>
      <w:proofErr w:type="spellStart"/>
      <w:r w:rsidRPr="00D73D59">
        <w:rPr>
          <w:bCs/>
          <w:szCs w:val="20"/>
        </w:rPr>
        <w:t>desfăşurat</w:t>
      </w:r>
      <w:proofErr w:type="spellEnd"/>
      <w:r w:rsidRPr="00D73D59">
        <w:rPr>
          <w:bCs/>
          <w:szCs w:val="20"/>
        </w:rPr>
        <w:t xml:space="preserve"> în baza confirmării Oracle referitoare la accesul pentru serviciile premier-suport, precum </w:t>
      </w:r>
      <w:proofErr w:type="spellStart"/>
      <w:r w:rsidRPr="00D73D59">
        <w:rPr>
          <w:bCs/>
          <w:szCs w:val="20"/>
        </w:rPr>
        <w:t>şi</w:t>
      </w:r>
      <w:proofErr w:type="spellEnd"/>
      <w:r w:rsidRPr="00D73D59">
        <w:rPr>
          <w:bCs/>
          <w:szCs w:val="20"/>
        </w:rPr>
        <w:t xml:space="preserve"> a </w:t>
      </w:r>
      <w:proofErr w:type="spellStart"/>
      <w:r w:rsidRPr="00D73D59">
        <w:rPr>
          <w:bCs/>
          <w:szCs w:val="20"/>
        </w:rPr>
        <w:t>autorizaţiei</w:t>
      </w:r>
      <w:proofErr w:type="spellEnd"/>
      <w:r w:rsidRPr="00D73D59">
        <w:rPr>
          <w:bCs/>
          <w:szCs w:val="20"/>
        </w:rPr>
        <w:t xml:space="preserve"> din partea producătorului1 emise pe numele contractantului pentru serviciile de suport oferite. </w:t>
      </w:r>
    </w:p>
    <w:p w14:paraId="5BEEB399" w14:textId="49BF1934" w:rsidR="00D73D59" w:rsidRPr="00D73D59" w:rsidRDefault="00D73D59" w:rsidP="00D73D59">
      <w:pPr>
        <w:spacing w:before="180" w:after="180" w:line="276" w:lineRule="auto"/>
        <w:jc w:val="both"/>
        <w:rPr>
          <w:bCs/>
          <w:szCs w:val="20"/>
        </w:rPr>
      </w:pPr>
      <w:r w:rsidRPr="00D73D59">
        <w:rPr>
          <w:bCs/>
          <w:szCs w:val="20"/>
        </w:rPr>
        <w:t xml:space="preserve">Serviciile de suport prestate de Contractant au constat în asigurarea </w:t>
      </w:r>
      <w:proofErr w:type="spellStart"/>
      <w:r w:rsidRPr="00D73D59">
        <w:rPr>
          <w:bCs/>
          <w:szCs w:val="20"/>
        </w:rPr>
        <w:t>şi</w:t>
      </w:r>
      <w:proofErr w:type="spellEnd"/>
      <w:r w:rsidRPr="00D73D59">
        <w:rPr>
          <w:bCs/>
          <w:szCs w:val="20"/>
        </w:rPr>
        <w:t xml:space="preserve"> verificarea accesului la serviciile premier-suport, asigurarea </w:t>
      </w:r>
      <w:proofErr w:type="spellStart"/>
      <w:r w:rsidRPr="00D73D59">
        <w:rPr>
          <w:bCs/>
          <w:szCs w:val="20"/>
        </w:rPr>
        <w:t>şi</w:t>
      </w:r>
      <w:proofErr w:type="spellEnd"/>
      <w:r w:rsidRPr="00D73D59">
        <w:rPr>
          <w:bCs/>
          <w:szCs w:val="20"/>
        </w:rPr>
        <w:t xml:space="preserve"> verificarea transmiterii </w:t>
      </w:r>
      <w:proofErr w:type="spellStart"/>
      <w:r w:rsidRPr="00D73D59">
        <w:rPr>
          <w:bCs/>
          <w:szCs w:val="20"/>
        </w:rPr>
        <w:t>şi</w:t>
      </w:r>
      <w:proofErr w:type="spellEnd"/>
      <w:r w:rsidRPr="00D73D59">
        <w:rPr>
          <w:bCs/>
          <w:szCs w:val="20"/>
        </w:rPr>
        <w:t xml:space="preserve"> implementării </w:t>
      </w:r>
      <w:proofErr w:type="spellStart"/>
      <w:r w:rsidRPr="00D73D59">
        <w:rPr>
          <w:bCs/>
          <w:szCs w:val="20"/>
        </w:rPr>
        <w:t>patch</w:t>
      </w:r>
      <w:proofErr w:type="spellEnd"/>
      <w:r w:rsidRPr="00D73D59">
        <w:rPr>
          <w:bCs/>
          <w:szCs w:val="20"/>
        </w:rPr>
        <w:t xml:space="preserve">-urilor emise de producătorul Oracle în luna de </w:t>
      </w:r>
      <w:proofErr w:type="spellStart"/>
      <w:r w:rsidRPr="00D73D59">
        <w:rPr>
          <w:bCs/>
          <w:szCs w:val="20"/>
        </w:rPr>
        <w:t>referinţă</w:t>
      </w:r>
      <w:proofErr w:type="spellEnd"/>
      <w:r w:rsidRPr="00D73D59">
        <w:rPr>
          <w:bCs/>
          <w:szCs w:val="20"/>
        </w:rPr>
        <w:t xml:space="preserve"> a prezentului raport. Verificarea </w:t>
      </w:r>
      <w:proofErr w:type="spellStart"/>
      <w:r w:rsidRPr="00D73D59">
        <w:rPr>
          <w:bCs/>
          <w:szCs w:val="20"/>
        </w:rPr>
        <w:t>şi</w:t>
      </w:r>
      <w:proofErr w:type="spellEnd"/>
      <w:r w:rsidRPr="00D73D59">
        <w:rPr>
          <w:bCs/>
          <w:szCs w:val="20"/>
        </w:rPr>
        <w:t xml:space="preserve"> implementarea </w:t>
      </w:r>
      <w:proofErr w:type="spellStart"/>
      <w:r w:rsidR="00497672">
        <w:rPr>
          <w:bCs/>
          <w:szCs w:val="20"/>
        </w:rPr>
        <w:t>atat</w:t>
      </w:r>
      <w:proofErr w:type="spellEnd"/>
      <w:r w:rsidR="00497672">
        <w:rPr>
          <w:bCs/>
          <w:szCs w:val="20"/>
        </w:rPr>
        <w:t xml:space="preserve"> hardware cat si software </w:t>
      </w:r>
      <w:r w:rsidRPr="00D73D59">
        <w:rPr>
          <w:bCs/>
          <w:szCs w:val="20"/>
        </w:rPr>
        <w:t xml:space="preserve">s-a făcut pentru întreaga cantitate a produselor </w:t>
      </w:r>
      <w:proofErr w:type="spellStart"/>
      <w:r w:rsidR="00497672">
        <w:rPr>
          <w:bCs/>
          <w:szCs w:val="20"/>
        </w:rPr>
        <w:t>achizitionate</w:t>
      </w:r>
      <w:proofErr w:type="spellEnd"/>
      <w:r w:rsidR="00497672">
        <w:rPr>
          <w:bCs/>
          <w:szCs w:val="20"/>
        </w:rPr>
        <w:t xml:space="preserve"> in</w:t>
      </w:r>
      <w:r w:rsidRPr="00D73D59">
        <w:rPr>
          <w:bCs/>
          <w:szCs w:val="20"/>
        </w:rPr>
        <w:t xml:space="preserve"> ambele </w:t>
      </w:r>
      <w:proofErr w:type="spellStart"/>
      <w:r w:rsidRPr="00D73D59">
        <w:rPr>
          <w:bCs/>
          <w:szCs w:val="20"/>
        </w:rPr>
        <w:t>locaţii</w:t>
      </w:r>
      <w:proofErr w:type="spellEnd"/>
      <w:r w:rsidRPr="00D73D59">
        <w:rPr>
          <w:bCs/>
          <w:szCs w:val="20"/>
        </w:rPr>
        <w:t xml:space="preserve">: </w:t>
      </w:r>
      <w:proofErr w:type="spellStart"/>
      <w:r w:rsidRPr="00D73D59">
        <w:rPr>
          <w:bCs/>
          <w:szCs w:val="20"/>
        </w:rPr>
        <w:t>Bucureşti</w:t>
      </w:r>
      <w:proofErr w:type="spellEnd"/>
      <w:r w:rsidRPr="00D73D59">
        <w:rPr>
          <w:bCs/>
          <w:szCs w:val="20"/>
        </w:rPr>
        <w:t xml:space="preserve"> </w:t>
      </w:r>
      <w:proofErr w:type="spellStart"/>
      <w:r w:rsidRPr="00D73D59">
        <w:rPr>
          <w:bCs/>
          <w:szCs w:val="20"/>
        </w:rPr>
        <w:t>şi</w:t>
      </w:r>
      <w:proofErr w:type="spellEnd"/>
      <w:r w:rsidRPr="00D73D59">
        <w:rPr>
          <w:bCs/>
          <w:szCs w:val="20"/>
        </w:rPr>
        <w:t xml:space="preserve"> </w:t>
      </w:r>
      <w:proofErr w:type="spellStart"/>
      <w:r w:rsidRPr="00D73D59">
        <w:rPr>
          <w:bCs/>
          <w:szCs w:val="20"/>
        </w:rPr>
        <w:t>Braşov</w:t>
      </w:r>
      <w:proofErr w:type="spellEnd"/>
      <w:r w:rsidRPr="00D73D59">
        <w:rPr>
          <w:bCs/>
          <w:szCs w:val="20"/>
        </w:rPr>
        <w:t xml:space="preserve">. Nu au fost necesare </w:t>
      </w:r>
      <w:proofErr w:type="spellStart"/>
      <w:r w:rsidRPr="00D73D59">
        <w:rPr>
          <w:bCs/>
          <w:szCs w:val="20"/>
        </w:rPr>
        <w:t>intervenţii</w:t>
      </w:r>
      <w:proofErr w:type="spellEnd"/>
      <w:r w:rsidRPr="00D73D59">
        <w:rPr>
          <w:bCs/>
          <w:szCs w:val="20"/>
        </w:rPr>
        <w:t xml:space="preserve"> la sediile </w:t>
      </w:r>
      <w:proofErr w:type="spellStart"/>
      <w:r w:rsidRPr="00D73D59">
        <w:rPr>
          <w:bCs/>
          <w:szCs w:val="20"/>
        </w:rPr>
        <w:t>Autorităţii</w:t>
      </w:r>
      <w:proofErr w:type="spellEnd"/>
      <w:r w:rsidRPr="00D73D59">
        <w:rPr>
          <w:bCs/>
          <w:szCs w:val="20"/>
        </w:rPr>
        <w:t xml:space="preserve"> Contractante, accesul pentru </w:t>
      </w:r>
      <w:proofErr w:type="spellStart"/>
      <w:r w:rsidRPr="00D73D59">
        <w:rPr>
          <w:bCs/>
          <w:szCs w:val="20"/>
        </w:rPr>
        <w:t>mentenanţă</w:t>
      </w:r>
      <w:proofErr w:type="spellEnd"/>
      <w:r w:rsidRPr="00D73D59">
        <w:rPr>
          <w:bCs/>
          <w:szCs w:val="20"/>
        </w:rPr>
        <w:t xml:space="preserve"> </w:t>
      </w:r>
      <w:proofErr w:type="spellStart"/>
      <w:r w:rsidRPr="00D73D59">
        <w:rPr>
          <w:bCs/>
          <w:szCs w:val="20"/>
        </w:rPr>
        <w:t>şi</w:t>
      </w:r>
      <w:proofErr w:type="spellEnd"/>
      <w:r w:rsidRPr="00D73D59">
        <w:rPr>
          <w:bCs/>
          <w:szCs w:val="20"/>
        </w:rPr>
        <w:t xml:space="preserve"> suport </w:t>
      </w:r>
      <w:proofErr w:type="spellStart"/>
      <w:r w:rsidRPr="00D73D59">
        <w:rPr>
          <w:bCs/>
          <w:szCs w:val="20"/>
        </w:rPr>
        <w:t>desfăşurându</w:t>
      </w:r>
      <w:proofErr w:type="spellEnd"/>
      <w:r w:rsidRPr="00D73D59">
        <w:rPr>
          <w:bCs/>
          <w:szCs w:val="20"/>
        </w:rPr>
        <w:t xml:space="preserve">-se fără întreruperea </w:t>
      </w:r>
      <w:proofErr w:type="spellStart"/>
      <w:r w:rsidRPr="00D73D59">
        <w:rPr>
          <w:bCs/>
          <w:szCs w:val="20"/>
        </w:rPr>
        <w:t>activităţii</w:t>
      </w:r>
      <w:proofErr w:type="spellEnd"/>
      <w:r w:rsidRPr="00D73D59">
        <w:rPr>
          <w:bCs/>
          <w:szCs w:val="20"/>
        </w:rPr>
        <w:t xml:space="preserve"> </w:t>
      </w:r>
      <w:proofErr w:type="spellStart"/>
      <w:r w:rsidRPr="00D73D59">
        <w:rPr>
          <w:bCs/>
          <w:szCs w:val="20"/>
        </w:rPr>
        <w:t>Autorităţii</w:t>
      </w:r>
      <w:proofErr w:type="spellEnd"/>
      <w:r w:rsidRPr="00D73D59">
        <w:rPr>
          <w:bCs/>
          <w:szCs w:val="20"/>
        </w:rPr>
        <w:t xml:space="preserve"> Contractante, prin </w:t>
      </w:r>
      <w:proofErr w:type="spellStart"/>
      <w:r w:rsidRPr="00D73D59">
        <w:rPr>
          <w:bCs/>
          <w:szCs w:val="20"/>
        </w:rPr>
        <w:t>intervenţii</w:t>
      </w:r>
      <w:proofErr w:type="spellEnd"/>
      <w:r w:rsidRPr="00D73D59">
        <w:rPr>
          <w:bCs/>
          <w:szCs w:val="20"/>
        </w:rPr>
        <w:t xml:space="preserve"> de la </w:t>
      </w:r>
      <w:proofErr w:type="spellStart"/>
      <w:r w:rsidRPr="00D73D59">
        <w:rPr>
          <w:bCs/>
          <w:szCs w:val="20"/>
        </w:rPr>
        <w:t>distanţă</w:t>
      </w:r>
      <w:proofErr w:type="spellEnd"/>
      <w:r w:rsidRPr="00D73D59">
        <w:rPr>
          <w:bCs/>
          <w:szCs w:val="20"/>
        </w:rPr>
        <w:t xml:space="preserve">. </w:t>
      </w:r>
    </w:p>
    <w:p w14:paraId="7C394055" w14:textId="6F6CE293" w:rsidR="00FA0952" w:rsidRPr="00D73D59" w:rsidRDefault="00D73D59" w:rsidP="00D73D59">
      <w:pPr>
        <w:spacing w:before="180" w:after="180" w:line="276" w:lineRule="auto"/>
        <w:jc w:val="both"/>
        <w:rPr>
          <w:bCs/>
          <w:szCs w:val="20"/>
        </w:rPr>
      </w:pPr>
      <w:r w:rsidRPr="00D73D59">
        <w:rPr>
          <w:bCs/>
          <w:szCs w:val="20"/>
        </w:rPr>
        <w:t xml:space="preserve">La </w:t>
      </w:r>
      <w:proofErr w:type="spellStart"/>
      <w:r w:rsidRPr="00D73D59">
        <w:rPr>
          <w:bCs/>
          <w:szCs w:val="20"/>
        </w:rPr>
        <w:t>sfârşitul</w:t>
      </w:r>
      <w:proofErr w:type="spellEnd"/>
      <w:r w:rsidRPr="00D73D59">
        <w:rPr>
          <w:bCs/>
          <w:szCs w:val="20"/>
        </w:rPr>
        <w:t xml:space="preserve"> perioadei de suport lunar toate produsele hardware </w:t>
      </w:r>
      <w:proofErr w:type="spellStart"/>
      <w:r w:rsidRPr="00D73D59">
        <w:rPr>
          <w:bCs/>
          <w:szCs w:val="20"/>
        </w:rPr>
        <w:t>şi</w:t>
      </w:r>
      <w:proofErr w:type="spellEnd"/>
      <w:r w:rsidRPr="00D73D59">
        <w:rPr>
          <w:bCs/>
          <w:szCs w:val="20"/>
        </w:rPr>
        <w:t xml:space="preserve"> software referite sunt actualizate </w:t>
      </w:r>
      <w:proofErr w:type="spellStart"/>
      <w:r w:rsidRPr="00D73D59">
        <w:rPr>
          <w:bCs/>
          <w:szCs w:val="20"/>
        </w:rPr>
        <w:t>şi</w:t>
      </w:r>
      <w:proofErr w:type="spellEnd"/>
      <w:r w:rsidRPr="00D73D59">
        <w:rPr>
          <w:bCs/>
          <w:szCs w:val="20"/>
        </w:rPr>
        <w:t xml:space="preserve"> </w:t>
      </w:r>
      <w:proofErr w:type="spellStart"/>
      <w:r w:rsidRPr="00D73D59">
        <w:rPr>
          <w:bCs/>
          <w:szCs w:val="20"/>
        </w:rPr>
        <w:t>menţinute</w:t>
      </w:r>
      <w:proofErr w:type="spellEnd"/>
      <w:r w:rsidRPr="00D73D59">
        <w:rPr>
          <w:bCs/>
          <w:szCs w:val="20"/>
        </w:rPr>
        <w:t xml:space="preserve"> în conformitate cu politicile producătorului de software Oracle.</w:t>
      </w:r>
    </w:p>
    <w:p w14:paraId="0793DFE2" w14:textId="45BD716B" w:rsidR="00DC14A4" w:rsidRPr="00497672" w:rsidRDefault="00497672" w:rsidP="00497672">
      <w:pPr>
        <w:jc w:val="both"/>
        <w:rPr>
          <w:bCs/>
        </w:rPr>
      </w:pPr>
      <w:r w:rsidRPr="00497672">
        <w:rPr>
          <w:b/>
        </w:rPr>
        <w:t>2.Serviciil</w:t>
      </w:r>
      <w:r>
        <w:rPr>
          <w:b/>
        </w:rPr>
        <w:t>or</w:t>
      </w:r>
      <w:r w:rsidRPr="00497672">
        <w:rPr>
          <w:b/>
        </w:rPr>
        <w:t xml:space="preserve"> de suport software pentru pachetul de licențe instalat deja pe echipamentul EXADATA existent, pe o perioadă de minim </w:t>
      </w:r>
      <w:r w:rsidR="002571A7">
        <w:rPr>
          <w:b/>
        </w:rPr>
        <w:t>12</w:t>
      </w:r>
      <w:r w:rsidRPr="00497672">
        <w:rPr>
          <w:b/>
        </w:rPr>
        <w:t xml:space="preserve"> </w:t>
      </w:r>
      <w:r w:rsidR="002571A7">
        <w:rPr>
          <w:b/>
        </w:rPr>
        <w:t>luni</w:t>
      </w:r>
      <w:r w:rsidRPr="00497672">
        <w:rPr>
          <w:b/>
        </w:rPr>
        <w:t xml:space="preserve"> de la data</w:t>
      </w:r>
      <w:r w:rsidR="002571A7">
        <w:rPr>
          <w:b/>
        </w:rPr>
        <w:t xml:space="preserve"> </w:t>
      </w:r>
      <w:r w:rsidR="0002018A">
        <w:rPr>
          <w:b/>
        </w:rPr>
        <w:t>semnării</w:t>
      </w:r>
      <w:r w:rsidR="002571A7">
        <w:rPr>
          <w:b/>
        </w:rPr>
        <w:t xml:space="preserve"> contractului</w:t>
      </w:r>
      <w:r w:rsidR="00DC14A4" w:rsidRPr="00497672">
        <w:rPr>
          <w:b/>
        </w:rPr>
        <w:t xml:space="preserve">, </w:t>
      </w:r>
      <w:bookmarkStart w:id="0" w:name="_Hlk172815784"/>
      <w:r w:rsidR="00DC14A4" w:rsidRPr="00497672">
        <w:rPr>
          <w:bCs/>
        </w:rPr>
        <w:t xml:space="preserve">conform cerințelor din Caietul de Sarcini </w:t>
      </w:r>
      <w:r w:rsidR="0002018A">
        <w:rPr>
          <w:bCs/>
        </w:rPr>
        <w:t xml:space="preserve">pentru echipamentul prezentat la </w:t>
      </w:r>
      <w:r w:rsidR="00DC14A4" w:rsidRPr="00497672">
        <w:rPr>
          <w:bCs/>
        </w:rPr>
        <w:t>cap. 3.</w:t>
      </w:r>
      <w:bookmarkEnd w:id="0"/>
      <w:r w:rsidR="0002018A">
        <w:rPr>
          <w:bCs/>
        </w:rPr>
        <w:t>1.1</w:t>
      </w:r>
      <w:r w:rsidR="00DC14A4" w:rsidRPr="00497672">
        <w:rPr>
          <w:bCs/>
        </w:rPr>
        <w:t xml:space="preserve">, care este parte integrantă a Contractului </w:t>
      </w:r>
      <w:r w:rsidR="0002018A">
        <w:rPr>
          <w:bCs/>
        </w:rPr>
        <w:t>.....................................</w:t>
      </w:r>
      <w:r w:rsidR="00DC14A4" w:rsidRPr="00497672">
        <w:rPr>
          <w:bCs/>
        </w:rPr>
        <w:t xml:space="preserve">, livrate de </w:t>
      </w:r>
      <w:r w:rsidR="0002018A">
        <w:rPr>
          <w:bCs/>
        </w:rPr>
        <w:t>.........................................................................</w:t>
      </w:r>
      <w:r w:rsidR="00DC14A4" w:rsidRPr="00497672">
        <w:rPr>
          <w:bCs/>
        </w:rPr>
        <w:t xml:space="preserve">.   </w:t>
      </w:r>
    </w:p>
    <w:p w14:paraId="2621055D" w14:textId="77777777" w:rsidR="00497672" w:rsidRDefault="00497672" w:rsidP="00A9635D">
      <w:pPr>
        <w:spacing w:line="360" w:lineRule="auto"/>
        <w:ind w:firstLine="720"/>
        <w:jc w:val="both"/>
      </w:pPr>
    </w:p>
    <w:p w14:paraId="75C4BD17" w14:textId="77777777" w:rsidR="0006181F" w:rsidRDefault="0006181F" w:rsidP="000C0A91">
      <w:pPr>
        <w:ind w:firstLine="720"/>
        <w:jc w:val="both"/>
      </w:pPr>
    </w:p>
    <w:p w14:paraId="18544DF1" w14:textId="77777777" w:rsidR="0006181F" w:rsidRDefault="0006181F" w:rsidP="000C0A91">
      <w:pPr>
        <w:ind w:firstLine="720"/>
        <w:jc w:val="both"/>
      </w:pPr>
    </w:p>
    <w:p w14:paraId="063AD050" w14:textId="77777777" w:rsidR="0006181F" w:rsidRDefault="0006181F" w:rsidP="000C0A91">
      <w:pPr>
        <w:ind w:firstLine="720"/>
        <w:jc w:val="both"/>
      </w:pPr>
    </w:p>
    <w:p w14:paraId="6ECCEFE9" w14:textId="753ED33D" w:rsidR="00497672" w:rsidRPr="009459D7" w:rsidRDefault="00497672" w:rsidP="000C0A91">
      <w:pPr>
        <w:ind w:firstLine="720"/>
        <w:jc w:val="both"/>
      </w:pPr>
      <w:r w:rsidRPr="009459D7">
        <w:t xml:space="preserve">Serviciile de suport software au fost </w:t>
      </w:r>
      <w:r w:rsidR="009459D7" w:rsidRPr="009459D7">
        <w:t xml:space="preserve">realizate in conformitate cu sistemul Oracle </w:t>
      </w:r>
      <w:proofErr w:type="spellStart"/>
      <w:r w:rsidR="009459D7" w:rsidRPr="009459D7">
        <w:t>Platinum</w:t>
      </w:r>
      <w:proofErr w:type="spellEnd"/>
      <w:r w:rsidR="009459D7" w:rsidRPr="009459D7">
        <w:t xml:space="preserve"> Services </w:t>
      </w:r>
    </w:p>
    <w:p w14:paraId="7D8598C8" w14:textId="77777777" w:rsidR="009459D7" w:rsidRPr="009459D7" w:rsidRDefault="009459D7" w:rsidP="000C0A91">
      <w:pPr>
        <w:numPr>
          <w:ilvl w:val="0"/>
          <w:numId w:val="2"/>
        </w:numPr>
        <w:ind w:left="896" w:hanging="357"/>
        <w:contextualSpacing/>
        <w:jc w:val="both"/>
        <w:rPr>
          <w:lang w:bidi="he-IL"/>
        </w:rPr>
      </w:pPr>
      <w:r w:rsidRPr="009459D7">
        <w:rPr>
          <w:lang w:bidi="he-IL"/>
        </w:rPr>
        <w:t xml:space="preserve">4/7 monitorizarea </w:t>
      </w:r>
      <w:proofErr w:type="spellStart"/>
      <w:r w:rsidRPr="009459D7">
        <w:rPr>
          <w:lang w:bidi="he-IL"/>
        </w:rPr>
        <w:t>remote</w:t>
      </w:r>
      <w:proofErr w:type="spellEnd"/>
      <w:r w:rsidRPr="009459D7">
        <w:rPr>
          <w:lang w:bidi="he-IL"/>
        </w:rPr>
        <w:t xml:space="preserve"> a defectelor</w:t>
      </w:r>
    </w:p>
    <w:p w14:paraId="09433176" w14:textId="77777777" w:rsidR="009459D7" w:rsidRPr="009459D7" w:rsidRDefault="009459D7" w:rsidP="000C0A91">
      <w:pPr>
        <w:numPr>
          <w:ilvl w:val="0"/>
          <w:numId w:val="2"/>
        </w:numPr>
        <w:ind w:left="896" w:hanging="357"/>
        <w:contextualSpacing/>
        <w:jc w:val="both"/>
        <w:rPr>
          <w:lang w:bidi="he-IL"/>
        </w:rPr>
      </w:pPr>
      <w:r w:rsidRPr="009459D7">
        <w:rPr>
          <w:lang w:bidi="he-IL"/>
        </w:rPr>
        <w:t>Notificări de eroare de 5 minute</w:t>
      </w:r>
    </w:p>
    <w:p w14:paraId="61F7483D" w14:textId="4E4FB041" w:rsidR="009459D7" w:rsidRDefault="009459D7" w:rsidP="000C0A91">
      <w:pPr>
        <w:pStyle w:val="ListParagraph"/>
        <w:numPr>
          <w:ilvl w:val="0"/>
          <w:numId w:val="2"/>
        </w:numPr>
        <w:jc w:val="both"/>
      </w:pPr>
      <w:r w:rsidRPr="009459D7">
        <w:rPr>
          <w:lang w:bidi="he-IL"/>
        </w:rPr>
        <w:t xml:space="preserve">Actualizarea si implementarea </w:t>
      </w:r>
      <w:proofErr w:type="spellStart"/>
      <w:r w:rsidRPr="009459D7">
        <w:rPr>
          <w:lang w:bidi="he-IL"/>
        </w:rPr>
        <w:t>patch</w:t>
      </w:r>
      <w:proofErr w:type="spellEnd"/>
      <w:r w:rsidRPr="009459D7">
        <w:rPr>
          <w:lang w:bidi="he-IL"/>
        </w:rPr>
        <w:t>-urilor de 4 ori pe an</w:t>
      </w:r>
      <w:r>
        <w:rPr>
          <w:lang w:bidi="he-IL"/>
        </w:rPr>
        <w:t>.</w:t>
      </w:r>
    </w:p>
    <w:p w14:paraId="6C331659" w14:textId="77777777" w:rsidR="009459D7" w:rsidRPr="009459D7" w:rsidRDefault="009459D7" w:rsidP="000C0A91">
      <w:pPr>
        <w:pStyle w:val="ListParagraph"/>
        <w:ind w:left="900"/>
        <w:jc w:val="both"/>
      </w:pPr>
    </w:p>
    <w:p w14:paraId="3B7D3E5C" w14:textId="6AF25C54" w:rsidR="00A9635D" w:rsidRDefault="00A9635D" w:rsidP="00A9635D">
      <w:pPr>
        <w:spacing w:line="360" w:lineRule="auto"/>
        <w:ind w:firstLine="720"/>
        <w:jc w:val="both"/>
      </w:pPr>
      <w:r>
        <w:t xml:space="preserve">Serviciile </w:t>
      </w:r>
      <w:r w:rsidR="00497672">
        <w:t xml:space="preserve">de suport software </w:t>
      </w:r>
      <w:r>
        <w:t xml:space="preserve">pentru care a fost realizata </w:t>
      </w:r>
      <w:proofErr w:type="spellStart"/>
      <w:r>
        <w:t>receptia</w:t>
      </w:r>
      <w:proofErr w:type="spellEnd"/>
      <w:r>
        <w:t xml:space="preserve"> sunt:</w:t>
      </w:r>
    </w:p>
    <w:tbl>
      <w:tblPr>
        <w:tblW w:w="8222" w:type="dxa"/>
        <w:tblInd w:w="-10" w:type="dxa"/>
        <w:tblLook w:val="04A0" w:firstRow="1" w:lastRow="0" w:firstColumn="1" w:lastColumn="0" w:noHBand="0" w:noVBand="1"/>
      </w:tblPr>
      <w:tblGrid>
        <w:gridCol w:w="567"/>
        <w:gridCol w:w="6521"/>
        <w:gridCol w:w="1134"/>
      </w:tblGrid>
      <w:tr w:rsidR="00A9635D" w:rsidRPr="003A140E" w14:paraId="62849692" w14:textId="77777777" w:rsidTr="00EA3BC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4ECE2AFC" w14:textId="77777777" w:rsidR="00A9635D" w:rsidRPr="00731DF5" w:rsidRDefault="00A9635D" w:rsidP="00EA3B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731D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5653DE09" w14:textId="77777777" w:rsidR="00A9635D" w:rsidRPr="00731DF5" w:rsidRDefault="00A9635D" w:rsidP="00EA3B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 serviciilor Software si Hardware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6A79ECF6" w14:textId="77777777" w:rsidR="00A9635D" w:rsidRPr="00731DF5" w:rsidRDefault="00A9635D" w:rsidP="00EA3B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731D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Cantitate</w:t>
            </w:r>
          </w:p>
        </w:tc>
      </w:tr>
      <w:tr w:rsidR="00A9635D" w:rsidRPr="003A140E" w14:paraId="0A7DC623" w14:textId="77777777" w:rsidTr="00EA3B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4CE3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5EE1" w14:textId="77777777" w:rsidR="00A9635D" w:rsidRPr="003A140E" w:rsidRDefault="00A9635D" w:rsidP="00EA3BC9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Oracle Partitioning - Processor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C357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</w:tr>
      <w:tr w:rsidR="00A9635D" w:rsidRPr="003A140E" w14:paraId="0840A156" w14:textId="77777777" w:rsidTr="00EA3B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E4EA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A153" w14:textId="77777777" w:rsidR="00A9635D" w:rsidRPr="003A140E" w:rsidRDefault="00A9635D" w:rsidP="00EA3BC9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Oracle Database Enterprise Edition - Processor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CF75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A9635D" w:rsidRPr="003A140E" w14:paraId="14AB3E95" w14:textId="77777777" w:rsidTr="00EA3B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0DF3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F57A" w14:textId="77777777" w:rsidR="00A9635D" w:rsidRPr="003A140E" w:rsidRDefault="00A9635D" w:rsidP="00EA3BC9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Oracle Real Application Clusters - Processor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06C3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</w:tr>
      <w:tr w:rsidR="00A9635D" w:rsidRPr="003A140E" w14:paraId="6A52906B" w14:textId="77777777" w:rsidTr="00EA3B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A882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368E" w14:textId="77777777" w:rsidR="00A9635D" w:rsidRPr="003A140E" w:rsidRDefault="00A9635D" w:rsidP="00EA3BC9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Oracle Database Enterprise Edition - Processor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A953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</w:tr>
      <w:tr w:rsidR="00A9635D" w:rsidRPr="003A140E" w14:paraId="50A8FF62" w14:textId="77777777" w:rsidTr="00EA3B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4CB5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B4EA" w14:textId="77777777" w:rsidR="00A9635D" w:rsidRPr="003A140E" w:rsidRDefault="00A9635D" w:rsidP="00EA3BC9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Oracle Real Application Clusters - Processor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43E8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</w:tr>
      <w:tr w:rsidR="00A9635D" w:rsidRPr="003A140E" w14:paraId="1C5CE74D" w14:textId="77777777" w:rsidTr="00EA3B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4636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903B" w14:textId="77777777" w:rsidR="00A9635D" w:rsidRPr="003A140E" w:rsidRDefault="00A9635D" w:rsidP="00EA3BC9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Oracle Partitioning - Processor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2923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</w:tr>
      <w:tr w:rsidR="00A9635D" w:rsidRPr="003A140E" w14:paraId="4A699509" w14:textId="77777777" w:rsidTr="00EA3B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48AB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9DD7" w14:textId="77777777" w:rsidR="00A9635D" w:rsidRPr="003A140E" w:rsidRDefault="00A9635D" w:rsidP="00EA3BC9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Oracle Database Enterprise Edition - Processor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1327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A9635D" w:rsidRPr="003A140E" w14:paraId="4F0D70C6" w14:textId="77777777" w:rsidTr="00EA3B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5A41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3D3E" w14:textId="77777777" w:rsidR="00A9635D" w:rsidRPr="003A140E" w:rsidRDefault="00A9635D" w:rsidP="00EA3BC9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Internet Application Server Java Edition - Processor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2DE4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A9635D" w:rsidRPr="003A140E" w14:paraId="38041B66" w14:textId="77777777" w:rsidTr="00EA3B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39D0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D141" w14:textId="77777777" w:rsidR="00A9635D" w:rsidRPr="003A140E" w:rsidRDefault="00A9635D" w:rsidP="00EA3BC9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Oracle Internet Developer Suite - Named User Plus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8BA5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A9635D" w:rsidRPr="003A140E" w14:paraId="3E959941" w14:textId="77777777" w:rsidTr="00EA3B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468D" w14:textId="478C0F15" w:rsidR="00A9635D" w:rsidRPr="003A140E" w:rsidRDefault="002571A7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6F5B" w14:textId="77777777" w:rsidR="00A9635D" w:rsidRPr="003A140E" w:rsidRDefault="00A9635D" w:rsidP="00EA3BC9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Oracle Diagnostics Pack - Processor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D19F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</w:tr>
      <w:tr w:rsidR="00A9635D" w:rsidRPr="003A140E" w14:paraId="029C57C9" w14:textId="77777777" w:rsidTr="00EA3B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19F3" w14:textId="123B3525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2571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2FC3" w14:textId="77777777" w:rsidR="00A9635D" w:rsidRPr="003A140E" w:rsidRDefault="00A9635D" w:rsidP="00EA3BC9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Oracle Tuning Pack - Processor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ECF5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</w:tr>
      <w:tr w:rsidR="00A9635D" w:rsidRPr="003A140E" w14:paraId="37073F36" w14:textId="77777777" w:rsidTr="00AA25B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E07942" w14:textId="367FD91B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2571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98BE82" w14:textId="77777777" w:rsidR="00A9635D" w:rsidRPr="003A140E" w:rsidRDefault="00A9635D" w:rsidP="00EA3BC9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Oracle Data Integrator Enterprise Edition - Processor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D1506D" w14:textId="77777777" w:rsidR="00A9635D" w:rsidRPr="003A140E" w:rsidRDefault="00A9635D" w:rsidP="00EA3BC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A140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</w:tr>
      <w:tr w:rsidR="002571A7" w:rsidRPr="003A140E" w14:paraId="49183BA6" w14:textId="77777777" w:rsidTr="00AA25B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F22D0C" w14:textId="05EEAEB7" w:rsidR="002571A7" w:rsidRPr="003A140E" w:rsidRDefault="002571A7" w:rsidP="00EA3BC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B6FD53" w14:textId="679D89F8" w:rsidR="002571A7" w:rsidRPr="003A140E" w:rsidRDefault="002571A7" w:rsidP="00EA3BC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571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Exadata Storage Server Software – Disk Drive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213C6F" w14:textId="09B17202" w:rsidR="002571A7" w:rsidRPr="003A140E" w:rsidRDefault="002571A7" w:rsidP="00EA3BC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</w:tr>
      <w:tr w:rsidR="00A9635D" w:rsidRPr="003A140E" w14:paraId="09E2A308" w14:textId="77777777" w:rsidTr="00AA25BA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0DDC0" w14:textId="1DAE9004" w:rsidR="00A9635D" w:rsidRPr="003A140E" w:rsidRDefault="00AA25BA" w:rsidP="00EA3BC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2571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7CE24" w14:textId="21C2DD2A" w:rsidR="00A9635D" w:rsidRPr="003A140E" w:rsidRDefault="00AA25BA" w:rsidP="00EA3BC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Exadata Storage Server Software – Disk Drive Perpetual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C082F" w14:textId="01371735" w:rsidR="00A9635D" w:rsidRPr="003A140E" w:rsidRDefault="00AA25BA" w:rsidP="00EA3BC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</w:tr>
    </w:tbl>
    <w:p w14:paraId="569526F9" w14:textId="77777777" w:rsidR="00A9635D" w:rsidRDefault="00A9635D" w:rsidP="00165F46">
      <w:pPr>
        <w:spacing w:line="360" w:lineRule="auto"/>
        <w:ind w:firstLine="720"/>
        <w:jc w:val="both"/>
      </w:pPr>
    </w:p>
    <w:p w14:paraId="2E8F7A75" w14:textId="77777777" w:rsidR="00B6559E" w:rsidRPr="00F4703D" w:rsidRDefault="00B6559E" w:rsidP="000C0A91">
      <w:pPr>
        <w:ind w:firstLine="720"/>
        <w:jc w:val="both"/>
      </w:pPr>
      <w:r w:rsidRPr="00F4703D">
        <w:t xml:space="preserve">Comisia atestă conformitatea serviciilor </w:t>
      </w:r>
      <w:r w:rsidR="006F55BD">
        <w:t xml:space="preserve">prestate </w:t>
      </w:r>
      <w:r w:rsidRPr="00F4703D">
        <w:t xml:space="preserve">ca fiind corespunzătoare din punct de vedere cantitativ și calitativ cu cerințele solicitate de </w:t>
      </w:r>
      <w:r w:rsidRPr="00F4703D">
        <w:rPr>
          <w:noProof/>
        </w:rPr>
        <w:t>ACHIZITOR</w:t>
      </w:r>
      <w:r w:rsidR="00682C32">
        <w:rPr>
          <w:noProof/>
        </w:rPr>
        <w:t xml:space="preserve"> prin contractul sus-menționat.</w:t>
      </w:r>
      <w:r w:rsidRPr="00F4703D">
        <w:t xml:space="preserve"> </w:t>
      </w:r>
    </w:p>
    <w:p w14:paraId="5159B47E" w14:textId="77777777" w:rsidR="00D51DF2" w:rsidRPr="00F4703D" w:rsidRDefault="00D51DF2" w:rsidP="000C0A91">
      <w:pPr>
        <w:ind w:firstLine="720"/>
        <w:rPr>
          <w:iCs/>
        </w:rPr>
      </w:pPr>
      <w:r w:rsidRPr="00F4703D">
        <w:rPr>
          <w:lang w:val="it-IT"/>
        </w:rPr>
        <w:t>Prezentul proces verbal de recepţie cantitativă şi calitativă a fost încheiat în 2 (două) exemplare originale</w:t>
      </w:r>
      <w:r w:rsidRPr="00F4703D">
        <w:t xml:space="preserve"> </w:t>
      </w:r>
      <w:proofErr w:type="spellStart"/>
      <w:r w:rsidRPr="00F4703D">
        <w:t>şi</w:t>
      </w:r>
      <w:proofErr w:type="spellEnd"/>
      <w:r w:rsidRPr="00F4703D">
        <w:t xml:space="preserve"> constituie anexă la factur</w:t>
      </w:r>
      <w:r w:rsidR="000D1618" w:rsidRPr="00F4703D">
        <w:t>a</w:t>
      </w:r>
      <w:r w:rsidR="00413D97" w:rsidRPr="00F4703D">
        <w:t xml:space="preserve"> </w:t>
      </w:r>
      <w:r w:rsidRPr="00F4703D">
        <w:t>fiscal</w:t>
      </w:r>
      <w:r w:rsidR="000D1618" w:rsidRPr="00F4703D">
        <w:t>ă</w:t>
      </w:r>
      <w:r w:rsidR="002F77BA">
        <w:t>.</w:t>
      </w:r>
      <w:r w:rsidR="005F2C09" w:rsidRPr="00F4703D">
        <w:t xml:space="preserve">   </w:t>
      </w:r>
      <w:r w:rsidRPr="00F4703D">
        <w:rPr>
          <w:iCs/>
        </w:rPr>
        <w:tab/>
        <w:t xml:space="preserve">                                    </w:t>
      </w:r>
    </w:p>
    <w:p w14:paraId="796E2561" w14:textId="4CD7A698" w:rsidR="00D51DF2" w:rsidRDefault="00D51DF2" w:rsidP="00D51DF2">
      <w:pPr>
        <w:rPr>
          <w:iCs/>
        </w:rPr>
      </w:pPr>
    </w:p>
    <w:p w14:paraId="081EF774" w14:textId="2707D5A3" w:rsidR="002571A7" w:rsidRDefault="002571A7" w:rsidP="00D51DF2">
      <w:pPr>
        <w:rPr>
          <w:iCs/>
        </w:rPr>
      </w:pPr>
    </w:p>
    <w:p w14:paraId="729BA667" w14:textId="77777777" w:rsidR="002571A7" w:rsidRPr="00F4703D" w:rsidRDefault="002571A7" w:rsidP="00D51DF2">
      <w:pPr>
        <w:rPr>
          <w:iCs/>
        </w:rPr>
      </w:pPr>
    </w:p>
    <w:p w14:paraId="119CF1C1" w14:textId="77777777" w:rsidR="00D51DF2" w:rsidRPr="00F4703D" w:rsidRDefault="00D51DF2" w:rsidP="00D51DF2">
      <w:pPr>
        <w:spacing w:line="360" w:lineRule="auto"/>
        <w:jc w:val="both"/>
        <w:rPr>
          <w:iCs/>
        </w:rPr>
      </w:pPr>
      <w:r w:rsidRPr="00F4703D">
        <w:rPr>
          <w:iCs/>
        </w:rPr>
        <w:t xml:space="preserve">           </w:t>
      </w:r>
      <w:r w:rsidR="00BA33CA" w:rsidRPr="00F4703D">
        <w:rPr>
          <w:iCs/>
        </w:rPr>
        <w:t xml:space="preserve">     </w:t>
      </w:r>
      <w:r w:rsidRPr="00F4703D">
        <w:rPr>
          <w:iCs/>
        </w:rPr>
        <w:t xml:space="preserve">  </w:t>
      </w:r>
      <w:r w:rsidR="00BA33CA" w:rsidRPr="00F4703D">
        <w:rPr>
          <w:iCs/>
        </w:rPr>
        <w:t xml:space="preserve">  </w:t>
      </w:r>
      <w:r w:rsidRPr="00F4703D">
        <w:rPr>
          <w:iCs/>
        </w:rPr>
        <w:t xml:space="preserve"> </w:t>
      </w:r>
      <w:r w:rsidR="00BA33CA" w:rsidRPr="00F4703D">
        <w:rPr>
          <w:iCs/>
        </w:rPr>
        <w:t xml:space="preserve"> </w:t>
      </w:r>
      <w:r w:rsidRPr="00F4703D">
        <w:rPr>
          <w:iCs/>
        </w:rPr>
        <w:t xml:space="preserve">  Achizitor,                                             </w:t>
      </w:r>
      <w:r w:rsidRPr="00F4703D">
        <w:rPr>
          <w:iCs/>
        </w:rPr>
        <w:tab/>
      </w:r>
      <w:r w:rsidRPr="00F4703D">
        <w:rPr>
          <w:iCs/>
        </w:rPr>
        <w:tab/>
      </w:r>
      <w:r w:rsidRPr="00F4703D">
        <w:rPr>
          <w:iCs/>
        </w:rPr>
        <w:tab/>
      </w:r>
    </w:p>
    <w:p w14:paraId="4CF321CD" w14:textId="77777777" w:rsidR="00D51DF2" w:rsidRPr="00F4703D" w:rsidRDefault="00D51DF2" w:rsidP="00D51DF2">
      <w:pPr>
        <w:spacing w:line="360" w:lineRule="auto"/>
        <w:jc w:val="both"/>
      </w:pPr>
      <w:r w:rsidRPr="00F4703D">
        <w:rPr>
          <w:iCs/>
        </w:rPr>
        <w:t xml:space="preserve">      </w:t>
      </w:r>
      <w:r w:rsidR="00BA33CA" w:rsidRPr="00F4703D">
        <w:rPr>
          <w:iCs/>
        </w:rPr>
        <w:t xml:space="preserve">    </w:t>
      </w:r>
      <w:r w:rsidR="00F4703D" w:rsidRPr="00F4703D">
        <w:rPr>
          <w:iCs/>
        </w:rPr>
        <w:t>Comisia de recepție</w:t>
      </w:r>
      <w:r w:rsidR="00BA33CA" w:rsidRPr="00F4703D">
        <w:rPr>
          <w:iCs/>
        </w:rPr>
        <w:t xml:space="preserve">    </w:t>
      </w:r>
      <w:r w:rsidRPr="00F4703D">
        <w:rPr>
          <w:iCs/>
        </w:rPr>
        <w:tab/>
      </w:r>
      <w:r w:rsidRPr="00F4703D">
        <w:rPr>
          <w:iCs/>
        </w:rPr>
        <w:tab/>
      </w:r>
      <w:r w:rsidRPr="00F4703D">
        <w:rPr>
          <w:iCs/>
        </w:rPr>
        <w:tab/>
      </w:r>
      <w:r w:rsidRPr="00F4703D">
        <w:rPr>
          <w:iCs/>
        </w:rPr>
        <w:tab/>
        <w:t xml:space="preserve">  </w:t>
      </w:r>
    </w:p>
    <w:p w14:paraId="26648127" w14:textId="0016B0E6" w:rsidR="00D51DF2" w:rsidRPr="00F4703D" w:rsidRDefault="00B45EEE" w:rsidP="00D51DF2">
      <w:pPr>
        <w:spacing w:line="360" w:lineRule="auto"/>
        <w:jc w:val="both"/>
        <w:rPr>
          <w:noProof/>
        </w:rPr>
      </w:pPr>
      <w:proofErr w:type="spellStart"/>
      <w:r w:rsidRPr="00F4703D">
        <w:rPr>
          <w:iCs/>
        </w:rPr>
        <w:t>Preşedinte</w:t>
      </w:r>
      <w:proofErr w:type="spellEnd"/>
      <w:r w:rsidRPr="00F4703D">
        <w:rPr>
          <w:iCs/>
        </w:rPr>
        <w:t xml:space="preserve"> – </w:t>
      </w:r>
      <w:r w:rsidR="002571A7">
        <w:rPr>
          <w:iCs/>
        </w:rPr>
        <w:t>............................</w:t>
      </w:r>
    </w:p>
    <w:p w14:paraId="78BB7A2C" w14:textId="77777777" w:rsidR="00D51DF2" w:rsidRPr="00F4703D" w:rsidRDefault="00D51DF2" w:rsidP="00D51DF2">
      <w:pPr>
        <w:spacing w:line="360" w:lineRule="auto"/>
        <w:jc w:val="both"/>
        <w:rPr>
          <w:noProof/>
        </w:rPr>
      </w:pPr>
    </w:p>
    <w:p w14:paraId="4B4AF55A" w14:textId="6E77CA24" w:rsidR="00D51DF2" w:rsidRPr="00F4703D" w:rsidRDefault="0082400B" w:rsidP="00D51DF2">
      <w:pPr>
        <w:spacing w:line="360" w:lineRule="auto"/>
        <w:jc w:val="both"/>
        <w:rPr>
          <w:noProof/>
        </w:rPr>
      </w:pPr>
      <w:r w:rsidRPr="00F4703D">
        <w:rPr>
          <w:noProof/>
        </w:rPr>
        <w:t>Membru –</w:t>
      </w:r>
      <w:r w:rsidR="00AB6593">
        <w:rPr>
          <w:noProof/>
        </w:rPr>
        <w:t xml:space="preserve"> </w:t>
      </w:r>
      <w:r w:rsidR="002571A7">
        <w:rPr>
          <w:iCs/>
        </w:rPr>
        <w:t>................................</w:t>
      </w:r>
    </w:p>
    <w:p w14:paraId="15B351D8" w14:textId="77777777" w:rsidR="00D51DF2" w:rsidRPr="00F4703D" w:rsidRDefault="00D51DF2" w:rsidP="00D51DF2">
      <w:pPr>
        <w:spacing w:line="360" w:lineRule="auto"/>
        <w:jc w:val="both"/>
        <w:rPr>
          <w:noProof/>
        </w:rPr>
      </w:pPr>
    </w:p>
    <w:p w14:paraId="1B577E46" w14:textId="02DE1C48" w:rsidR="00F4703D" w:rsidRDefault="00F4703D" w:rsidP="00BE1D8F">
      <w:pPr>
        <w:spacing w:line="360" w:lineRule="auto"/>
        <w:jc w:val="both"/>
        <w:rPr>
          <w:iCs/>
        </w:rPr>
      </w:pPr>
      <w:r w:rsidRPr="00F4703D">
        <w:rPr>
          <w:iCs/>
        </w:rPr>
        <w:t>Membru</w:t>
      </w:r>
      <w:r w:rsidR="00AB6593">
        <w:rPr>
          <w:iCs/>
        </w:rPr>
        <w:t xml:space="preserve"> -  </w:t>
      </w:r>
      <w:r w:rsidR="002571A7">
        <w:rPr>
          <w:noProof/>
        </w:rPr>
        <w:t>................................</w:t>
      </w:r>
    </w:p>
    <w:p w14:paraId="1C8762A4" w14:textId="77777777" w:rsidR="008109E6" w:rsidRPr="00627C02" w:rsidRDefault="008109E6" w:rsidP="00BE1D8F">
      <w:pPr>
        <w:spacing w:line="360" w:lineRule="auto"/>
        <w:jc w:val="both"/>
        <w:rPr>
          <w:lang w:val="en-US"/>
        </w:rPr>
      </w:pPr>
    </w:p>
    <w:sectPr w:rsidR="008109E6" w:rsidRPr="00627C02" w:rsidSect="00025B5B">
      <w:headerReference w:type="default" r:id="rId8"/>
      <w:pgSz w:w="11907" w:h="16839" w:code="9"/>
      <w:pgMar w:top="709" w:right="1440" w:bottom="18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85AF" w14:textId="77777777" w:rsidR="00782936" w:rsidRDefault="00782936" w:rsidP="0002018A">
      <w:r>
        <w:separator/>
      </w:r>
    </w:p>
  </w:endnote>
  <w:endnote w:type="continuationSeparator" w:id="0">
    <w:p w14:paraId="4E9BF36E" w14:textId="77777777" w:rsidR="00782936" w:rsidRDefault="00782936" w:rsidP="0002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C3E4" w14:textId="77777777" w:rsidR="00782936" w:rsidRDefault="00782936" w:rsidP="0002018A">
      <w:r>
        <w:separator/>
      </w:r>
    </w:p>
  </w:footnote>
  <w:footnote w:type="continuationSeparator" w:id="0">
    <w:p w14:paraId="6F91104F" w14:textId="77777777" w:rsidR="00782936" w:rsidRDefault="00782936" w:rsidP="0002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BDFB" w14:textId="669AEF1B" w:rsidR="0002018A" w:rsidRDefault="0002018A">
    <w:pPr>
      <w:pStyle w:val="Header"/>
    </w:pPr>
    <w:r>
      <w:rPr>
        <w:noProof/>
      </w:rPr>
      <w:drawing>
        <wp:inline distT="0" distB="0" distL="0" distR="0" wp14:anchorId="60D3C7EE" wp14:editId="5AC75956">
          <wp:extent cx="5732145" cy="90188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901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B421B"/>
    <w:multiLevelType w:val="hybridMultilevel"/>
    <w:tmpl w:val="823485AA"/>
    <w:lvl w:ilvl="0" w:tplc="A016D96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3E44789"/>
    <w:multiLevelType w:val="hybridMultilevel"/>
    <w:tmpl w:val="83ACCBC6"/>
    <w:lvl w:ilvl="0" w:tplc="22D4786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lang w:val="en-US"/>
      </w:rPr>
    </w:lvl>
    <w:lvl w:ilvl="1" w:tplc="04180019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F2"/>
    <w:rsid w:val="00000762"/>
    <w:rsid w:val="0002018A"/>
    <w:rsid w:val="00025B5B"/>
    <w:rsid w:val="00047D61"/>
    <w:rsid w:val="0006181F"/>
    <w:rsid w:val="00077253"/>
    <w:rsid w:val="00081FCD"/>
    <w:rsid w:val="000B6EFB"/>
    <w:rsid w:val="000C0A91"/>
    <w:rsid w:val="000C4754"/>
    <w:rsid w:val="000C7272"/>
    <w:rsid w:val="000D1618"/>
    <w:rsid w:val="000D46C2"/>
    <w:rsid w:val="000D5A80"/>
    <w:rsid w:val="0013238E"/>
    <w:rsid w:val="001326DE"/>
    <w:rsid w:val="00135EEA"/>
    <w:rsid w:val="0014524B"/>
    <w:rsid w:val="0016454E"/>
    <w:rsid w:val="00165F46"/>
    <w:rsid w:val="00176E92"/>
    <w:rsid w:val="00183C7E"/>
    <w:rsid w:val="001A15FC"/>
    <w:rsid w:val="001C15D7"/>
    <w:rsid w:val="00204D51"/>
    <w:rsid w:val="0023299C"/>
    <w:rsid w:val="00237DF2"/>
    <w:rsid w:val="0024307D"/>
    <w:rsid w:val="002502B5"/>
    <w:rsid w:val="0025639D"/>
    <w:rsid w:val="002571A7"/>
    <w:rsid w:val="00273AA4"/>
    <w:rsid w:val="00276007"/>
    <w:rsid w:val="00280BB5"/>
    <w:rsid w:val="00286522"/>
    <w:rsid w:val="00295924"/>
    <w:rsid w:val="002C460E"/>
    <w:rsid w:val="002D252B"/>
    <w:rsid w:val="002E1D6C"/>
    <w:rsid w:val="002F77BA"/>
    <w:rsid w:val="003163EE"/>
    <w:rsid w:val="00326CEC"/>
    <w:rsid w:val="0032763C"/>
    <w:rsid w:val="00347CA5"/>
    <w:rsid w:val="0035275D"/>
    <w:rsid w:val="00360F34"/>
    <w:rsid w:val="003868DD"/>
    <w:rsid w:val="00391BE3"/>
    <w:rsid w:val="00392FCF"/>
    <w:rsid w:val="003A140E"/>
    <w:rsid w:val="003B2EDD"/>
    <w:rsid w:val="003B579A"/>
    <w:rsid w:val="003F0807"/>
    <w:rsid w:val="00406FC4"/>
    <w:rsid w:val="0041187F"/>
    <w:rsid w:val="00413D97"/>
    <w:rsid w:val="004267F9"/>
    <w:rsid w:val="004314F2"/>
    <w:rsid w:val="00475CE0"/>
    <w:rsid w:val="004934AC"/>
    <w:rsid w:val="00495D72"/>
    <w:rsid w:val="00497672"/>
    <w:rsid w:val="004C7086"/>
    <w:rsid w:val="004D2ACF"/>
    <w:rsid w:val="004F6750"/>
    <w:rsid w:val="004F7847"/>
    <w:rsid w:val="00502A1E"/>
    <w:rsid w:val="0051304D"/>
    <w:rsid w:val="0056643D"/>
    <w:rsid w:val="005F2C09"/>
    <w:rsid w:val="006234F4"/>
    <w:rsid w:val="00627C02"/>
    <w:rsid w:val="006551B4"/>
    <w:rsid w:val="006567B7"/>
    <w:rsid w:val="00680059"/>
    <w:rsid w:val="00682C32"/>
    <w:rsid w:val="006878A1"/>
    <w:rsid w:val="006A7902"/>
    <w:rsid w:val="006B077D"/>
    <w:rsid w:val="006B3880"/>
    <w:rsid w:val="006C0284"/>
    <w:rsid w:val="006D5FB7"/>
    <w:rsid w:val="006E7C2C"/>
    <w:rsid w:val="006F4D34"/>
    <w:rsid w:val="006F55BD"/>
    <w:rsid w:val="00703936"/>
    <w:rsid w:val="00705BDA"/>
    <w:rsid w:val="0071410B"/>
    <w:rsid w:val="0071568A"/>
    <w:rsid w:val="00730075"/>
    <w:rsid w:val="00731DF5"/>
    <w:rsid w:val="00735756"/>
    <w:rsid w:val="00740BE9"/>
    <w:rsid w:val="007458C5"/>
    <w:rsid w:val="00766356"/>
    <w:rsid w:val="00775469"/>
    <w:rsid w:val="0077754B"/>
    <w:rsid w:val="007778AC"/>
    <w:rsid w:val="00782936"/>
    <w:rsid w:val="00795D39"/>
    <w:rsid w:val="00797FAC"/>
    <w:rsid w:val="007B519A"/>
    <w:rsid w:val="007B54E4"/>
    <w:rsid w:val="007E0918"/>
    <w:rsid w:val="007F0CFC"/>
    <w:rsid w:val="007F7B24"/>
    <w:rsid w:val="00803DCA"/>
    <w:rsid w:val="0081048B"/>
    <w:rsid w:val="008109E6"/>
    <w:rsid w:val="00814168"/>
    <w:rsid w:val="0082400B"/>
    <w:rsid w:val="00834FA3"/>
    <w:rsid w:val="00854455"/>
    <w:rsid w:val="0086213B"/>
    <w:rsid w:val="00887B2E"/>
    <w:rsid w:val="008B4A2A"/>
    <w:rsid w:val="008E57FC"/>
    <w:rsid w:val="008F2F64"/>
    <w:rsid w:val="008F7D96"/>
    <w:rsid w:val="00927A0A"/>
    <w:rsid w:val="00932B0A"/>
    <w:rsid w:val="009352DF"/>
    <w:rsid w:val="009459D7"/>
    <w:rsid w:val="0095032F"/>
    <w:rsid w:val="00954614"/>
    <w:rsid w:val="00955B63"/>
    <w:rsid w:val="009573B6"/>
    <w:rsid w:val="009778B8"/>
    <w:rsid w:val="00982192"/>
    <w:rsid w:val="009E2EF6"/>
    <w:rsid w:val="009F0157"/>
    <w:rsid w:val="00A02F26"/>
    <w:rsid w:val="00A10700"/>
    <w:rsid w:val="00A135E1"/>
    <w:rsid w:val="00A276B0"/>
    <w:rsid w:val="00A84185"/>
    <w:rsid w:val="00A92086"/>
    <w:rsid w:val="00A9220B"/>
    <w:rsid w:val="00A9635D"/>
    <w:rsid w:val="00AA0FC6"/>
    <w:rsid w:val="00AA25BA"/>
    <w:rsid w:val="00AB18A9"/>
    <w:rsid w:val="00AB6593"/>
    <w:rsid w:val="00AB687E"/>
    <w:rsid w:val="00AC51FB"/>
    <w:rsid w:val="00AC529E"/>
    <w:rsid w:val="00AD0638"/>
    <w:rsid w:val="00AD7EFC"/>
    <w:rsid w:val="00B32EF1"/>
    <w:rsid w:val="00B40CE7"/>
    <w:rsid w:val="00B45EEE"/>
    <w:rsid w:val="00B54CEA"/>
    <w:rsid w:val="00B6559E"/>
    <w:rsid w:val="00B86C74"/>
    <w:rsid w:val="00BA33CA"/>
    <w:rsid w:val="00BB28F9"/>
    <w:rsid w:val="00BB720E"/>
    <w:rsid w:val="00BC1EF1"/>
    <w:rsid w:val="00BC613A"/>
    <w:rsid w:val="00BD2565"/>
    <w:rsid w:val="00BD2D22"/>
    <w:rsid w:val="00BD5B8F"/>
    <w:rsid w:val="00BD67DB"/>
    <w:rsid w:val="00BE1D8F"/>
    <w:rsid w:val="00BF7514"/>
    <w:rsid w:val="00C42CBF"/>
    <w:rsid w:val="00C507EC"/>
    <w:rsid w:val="00C5091C"/>
    <w:rsid w:val="00C654AC"/>
    <w:rsid w:val="00C90004"/>
    <w:rsid w:val="00C91843"/>
    <w:rsid w:val="00CD1763"/>
    <w:rsid w:val="00CD4B9D"/>
    <w:rsid w:val="00CF0B8E"/>
    <w:rsid w:val="00D20D2B"/>
    <w:rsid w:val="00D40CA5"/>
    <w:rsid w:val="00D51DF2"/>
    <w:rsid w:val="00D54DAE"/>
    <w:rsid w:val="00D61636"/>
    <w:rsid w:val="00D672E5"/>
    <w:rsid w:val="00D73D59"/>
    <w:rsid w:val="00D7660E"/>
    <w:rsid w:val="00D80F61"/>
    <w:rsid w:val="00D95498"/>
    <w:rsid w:val="00DC14A4"/>
    <w:rsid w:val="00DD1303"/>
    <w:rsid w:val="00DD2302"/>
    <w:rsid w:val="00DF7585"/>
    <w:rsid w:val="00E0591D"/>
    <w:rsid w:val="00E34B5E"/>
    <w:rsid w:val="00E46C2C"/>
    <w:rsid w:val="00E8187B"/>
    <w:rsid w:val="00E873FC"/>
    <w:rsid w:val="00EA3BC9"/>
    <w:rsid w:val="00EC7233"/>
    <w:rsid w:val="00ED705F"/>
    <w:rsid w:val="00F11FFD"/>
    <w:rsid w:val="00F422E9"/>
    <w:rsid w:val="00F424A8"/>
    <w:rsid w:val="00F4703D"/>
    <w:rsid w:val="00F63808"/>
    <w:rsid w:val="00F6764F"/>
    <w:rsid w:val="00F7111F"/>
    <w:rsid w:val="00F737C0"/>
    <w:rsid w:val="00F77205"/>
    <w:rsid w:val="00F830B2"/>
    <w:rsid w:val="00F8504F"/>
    <w:rsid w:val="00F856A4"/>
    <w:rsid w:val="00FA0952"/>
    <w:rsid w:val="00FB54F6"/>
    <w:rsid w:val="00FB5E5A"/>
    <w:rsid w:val="00FB6000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EBE05"/>
  <w15:docId w15:val="{A7422705-D070-4FB4-AE62-6671088D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F2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D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51DF2"/>
    <w:rPr>
      <w:rFonts w:ascii="Arial" w:hAnsi="Arial" w:cs="Times New Roman"/>
      <w:b/>
      <w:kern w:val="32"/>
      <w:sz w:val="32"/>
      <w:lang w:val="ro-RO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F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51DF2"/>
    <w:rPr>
      <w:rFonts w:ascii="Tahoma" w:hAnsi="Tahoma" w:cs="Times New Roman"/>
      <w:sz w:val="16"/>
      <w:lang w:val="ro-RO" w:eastAsia="x-none"/>
    </w:rPr>
  </w:style>
  <w:style w:type="paragraph" w:styleId="ListParagraph">
    <w:name w:val="List Paragraph"/>
    <w:basedOn w:val="Normal"/>
    <w:uiPriority w:val="34"/>
    <w:qFormat/>
    <w:rsid w:val="009459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0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18A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0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18A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DD1B5-126A-4524-8B8A-B692B02D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Catalin Zgondea</cp:lastModifiedBy>
  <cp:revision>2</cp:revision>
  <cp:lastPrinted>2024-12-19T08:29:00Z</cp:lastPrinted>
  <dcterms:created xsi:type="dcterms:W3CDTF">2025-10-23T06:09:00Z</dcterms:created>
  <dcterms:modified xsi:type="dcterms:W3CDTF">2025-10-23T06:09:00Z</dcterms:modified>
</cp:coreProperties>
</file>