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D63C" w14:textId="77777777" w:rsidR="00060048" w:rsidRPr="00964567" w:rsidRDefault="00060048" w:rsidP="00964567">
      <w:pPr>
        <w:shd w:val="clear" w:color="auto" w:fill="F0F7EB"/>
        <w:spacing w:after="0" w:line="360" w:lineRule="auto"/>
        <w:ind w:left="225" w:right="225"/>
        <w:jc w:val="right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964567">
        <w:rPr>
          <w:rFonts w:eastAsia="Times New Roman" w:cstheme="minorHAnsi"/>
          <w:b/>
          <w:bCs/>
          <w:sz w:val="24"/>
          <w:szCs w:val="24"/>
        </w:rPr>
        <w:t>ANEXA A</w:t>
      </w:r>
    </w:p>
    <w:p w14:paraId="647557EC" w14:textId="77777777" w:rsidR="0022429A" w:rsidRPr="00964567" w:rsidRDefault="0022429A" w:rsidP="00964567">
      <w:pPr>
        <w:shd w:val="clear" w:color="auto" w:fill="F0F7EB"/>
        <w:spacing w:after="0" w:line="360" w:lineRule="auto"/>
        <w:ind w:left="225" w:right="225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964567">
        <w:rPr>
          <w:rFonts w:eastAsia="Times New Roman" w:cstheme="minorHAnsi"/>
          <w:b/>
          <w:bCs/>
          <w:sz w:val="24"/>
          <w:szCs w:val="24"/>
        </w:rPr>
        <w:t xml:space="preserve">III.1.6) </w:t>
      </w:r>
      <w:proofErr w:type="spellStart"/>
      <w:r w:rsidRPr="00964567">
        <w:rPr>
          <w:rFonts w:eastAsia="Times New Roman" w:cstheme="minorHAnsi"/>
          <w:b/>
          <w:bCs/>
          <w:sz w:val="24"/>
          <w:szCs w:val="24"/>
        </w:rPr>
        <w:t>Depozite</w:t>
      </w:r>
      <w:proofErr w:type="spellEnd"/>
      <w:r w:rsidRPr="00964567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eastAsia="Times New Roman" w:cstheme="minorHAnsi"/>
          <w:b/>
          <w:bCs/>
          <w:sz w:val="24"/>
          <w:szCs w:val="24"/>
        </w:rPr>
        <w:t>valorice</w:t>
      </w:r>
      <w:proofErr w:type="spellEnd"/>
      <w:r w:rsidRPr="00964567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eastAsia="Times New Roman" w:cstheme="minorHAnsi"/>
          <w:b/>
          <w:bCs/>
          <w:sz w:val="24"/>
          <w:szCs w:val="24"/>
        </w:rPr>
        <w:t>si</w:t>
      </w:r>
      <w:proofErr w:type="spellEnd"/>
      <w:r w:rsidRPr="00964567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eastAsia="Times New Roman" w:cstheme="minorHAnsi"/>
          <w:b/>
          <w:bCs/>
          <w:sz w:val="24"/>
          <w:szCs w:val="24"/>
        </w:rPr>
        <w:t>garantii</w:t>
      </w:r>
      <w:proofErr w:type="spellEnd"/>
      <w:r w:rsidRPr="00964567">
        <w:rPr>
          <w:rFonts w:eastAsia="Times New Roman" w:cstheme="minorHAnsi"/>
          <w:b/>
          <w:bCs/>
          <w:sz w:val="24"/>
          <w:szCs w:val="24"/>
        </w:rPr>
        <w:t xml:space="preserve"> solicitate:</w:t>
      </w:r>
    </w:p>
    <w:p w14:paraId="04BAE682" w14:textId="77777777" w:rsidR="0022429A" w:rsidRPr="00964567" w:rsidRDefault="0022429A" w:rsidP="00964567">
      <w:pPr>
        <w:shd w:val="clear" w:color="auto" w:fill="F0F7EB"/>
        <w:spacing w:after="0" w:line="360" w:lineRule="auto"/>
        <w:ind w:left="225" w:right="225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964567">
        <w:rPr>
          <w:rFonts w:eastAsia="Times New Roman" w:cstheme="minorHAnsi"/>
          <w:b/>
          <w:bCs/>
          <w:sz w:val="24"/>
          <w:szCs w:val="24"/>
        </w:rPr>
        <w:t xml:space="preserve">III.1.6.a) </w:t>
      </w:r>
      <w:proofErr w:type="spellStart"/>
      <w:r w:rsidRPr="00964567">
        <w:rPr>
          <w:rFonts w:eastAsia="Times New Roman" w:cstheme="minorHAnsi"/>
          <w:b/>
          <w:bCs/>
          <w:sz w:val="24"/>
          <w:szCs w:val="24"/>
        </w:rPr>
        <w:t>Garantie</w:t>
      </w:r>
      <w:proofErr w:type="spellEnd"/>
      <w:r w:rsidRPr="00964567">
        <w:rPr>
          <w:rFonts w:eastAsia="Times New Roman"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eastAsia="Times New Roman"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eastAsia="Times New Roman" w:cstheme="minorHAnsi"/>
          <w:b/>
          <w:bCs/>
          <w:sz w:val="24"/>
          <w:szCs w:val="24"/>
        </w:rPr>
        <w:t>: *</w:t>
      </w:r>
    </w:p>
    <w:p w14:paraId="1129C0AD" w14:textId="146114E1" w:rsidR="0022429A" w:rsidRPr="00964567" w:rsidRDefault="0022429A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Cuantum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garanție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(Lei): </w:t>
      </w:r>
      <w:r w:rsidR="003B61AC" w:rsidRPr="00964567">
        <w:rPr>
          <w:rFonts w:cstheme="minorHAnsi"/>
          <w:b/>
          <w:bCs/>
          <w:sz w:val="24"/>
          <w:szCs w:val="24"/>
        </w:rPr>
        <w:t>23.814,00</w:t>
      </w:r>
      <w:r w:rsidRPr="00964567">
        <w:rPr>
          <w:rFonts w:cstheme="minorHAnsi"/>
          <w:b/>
          <w:bCs/>
          <w:sz w:val="24"/>
          <w:szCs w:val="24"/>
        </w:rPr>
        <w:t xml:space="preserve">;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Garantia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constituită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altă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monedă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decât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leul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calcula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cursul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leu/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valută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comunicat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BNR din data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publicării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anunțului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. </w:t>
      </w:r>
    </w:p>
    <w:p w14:paraId="09D17036" w14:textId="77777777" w:rsidR="0022429A" w:rsidRPr="00964567" w:rsidRDefault="0022429A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Valabilitate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Garantie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120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zile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la data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limită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stabilită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pentru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depunerea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ofertelor</w:t>
      </w:r>
      <w:proofErr w:type="spellEnd"/>
      <w:r w:rsidRPr="00964567">
        <w:rPr>
          <w:rFonts w:cstheme="minorHAnsi"/>
          <w:b/>
          <w:bCs/>
          <w:sz w:val="24"/>
          <w:szCs w:val="24"/>
        </w:rPr>
        <w:t>.</w:t>
      </w:r>
    </w:p>
    <w:p w14:paraId="42CA8668" w14:textId="77777777" w:rsidR="0022429A" w:rsidRPr="00964567" w:rsidRDefault="0022429A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Garanția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constitui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conformitate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prevederile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art.164 </w:t>
      </w:r>
      <w:proofErr w:type="spellStart"/>
      <w:proofErr w:type="gramStart"/>
      <w:r w:rsidRPr="00964567">
        <w:rPr>
          <w:rFonts w:cstheme="minorHAnsi"/>
          <w:b/>
          <w:bCs/>
          <w:sz w:val="24"/>
          <w:szCs w:val="24"/>
        </w:rPr>
        <w:t>alin</w:t>
      </w:r>
      <w:proofErr w:type="spellEnd"/>
      <w:r w:rsidRPr="00964567">
        <w:rPr>
          <w:rFonts w:cstheme="minorHAnsi"/>
          <w:b/>
          <w:bCs/>
          <w:sz w:val="24"/>
          <w:szCs w:val="24"/>
        </w:rPr>
        <w:t>.(</w:t>
      </w:r>
      <w:proofErr w:type="gramEnd"/>
      <w:r w:rsidRPr="00964567">
        <w:rPr>
          <w:rFonts w:cstheme="minorHAnsi"/>
          <w:b/>
          <w:bCs/>
          <w:sz w:val="24"/>
          <w:szCs w:val="24"/>
        </w:rPr>
        <w:t xml:space="preserve">4)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lit.a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)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b) din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Legea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99/2016.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Garanția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trebuie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fie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irevocabilă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fie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constituită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suma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pentru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perioada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valabilitate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prevăzute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documentația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atribuire</w:t>
      </w:r>
      <w:proofErr w:type="spellEnd"/>
      <w:r w:rsidRPr="00964567">
        <w:rPr>
          <w:rFonts w:cstheme="minorHAnsi"/>
          <w:b/>
          <w:bCs/>
          <w:sz w:val="24"/>
          <w:szCs w:val="24"/>
        </w:rPr>
        <w:t>.</w:t>
      </w:r>
    </w:p>
    <w:p w14:paraId="6E9325DC" w14:textId="77777777" w:rsidR="0022429A" w:rsidRPr="00964567" w:rsidRDefault="0022429A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Instrumentul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garantare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sau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ordinul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virament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transmite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SEAP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împreună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oferta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celelalte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documente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ale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acesteia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cel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mai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târziu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data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ora-limită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depunere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964567">
        <w:rPr>
          <w:rFonts w:cstheme="minorHAnsi"/>
          <w:b/>
          <w:bCs/>
          <w:sz w:val="24"/>
          <w:szCs w:val="24"/>
        </w:rPr>
        <w:t>a</w:t>
      </w:r>
      <w:proofErr w:type="gram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ofertelor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;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Instrumentul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garantare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trebuie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prevadă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plata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garanției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executa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necondiționat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respectiv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prima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cerere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entității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pe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baza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declarației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acestuia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privire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culpa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persoanei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garantate</w:t>
      </w:r>
      <w:proofErr w:type="spellEnd"/>
      <w:r w:rsidRPr="00964567">
        <w:rPr>
          <w:rFonts w:cstheme="minorHAnsi"/>
          <w:b/>
          <w:bCs/>
          <w:sz w:val="24"/>
          <w:szCs w:val="24"/>
        </w:rPr>
        <w:t>.</w:t>
      </w:r>
    </w:p>
    <w:p w14:paraId="1E206036" w14:textId="0C9AEA65" w:rsidR="0022429A" w:rsidRPr="00964567" w:rsidRDefault="0022429A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cazul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viramentului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bancar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plata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realiza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RO 34 RNCB 0074 1643 5032 0009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deschis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BCR sector 3, Bucuresti, Cod fiscal: RO41269473,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Documentul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plată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fi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încărcat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SEAP,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semnat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semnătură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electronică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până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data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limită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depunere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964567">
        <w:rPr>
          <w:rFonts w:cstheme="minorHAnsi"/>
          <w:b/>
          <w:bCs/>
          <w:sz w:val="24"/>
          <w:szCs w:val="24"/>
        </w:rPr>
        <w:t>a</w:t>
      </w:r>
      <w:proofErr w:type="gram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ofertelor</w:t>
      </w:r>
      <w:proofErr w:type="spellEnd"/>
      <w:r w:rsidRPr="00964567">
        <w:rPr>
          <w:rFonts w:cstheme="minorHAnsi"/>
          <w:b/>
          <w:bCs/>
          <w:sz w:val="24"/>
          <w:szCs w:val="24"/>
        </w:rPr>
        <w:t>.</w:t>
      </w:r>
    </w:p>
    <w:p w14:paraId="5B17B1AF" w14:textId="77777777" w:rsidR="0022429A" w:rsidRPr="00964567" w:rsidRDefault="0022429A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După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această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dată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entitatea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solicită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ofertanților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clarificări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scopul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prezentării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original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documentului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964567">
        <w:rPr>
          <w:rFonts w:cstheme="minorHAnsi"/>
          <w:b/>
          <w:bCs/>
          <w:sz w:val="24"/>
          <w:szCs w:val="24"/>
        </w:rPr>
        <w:t>privind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garanția</w:t>
      </w:r>
      <w:proofErr w:type="spellEnd"/>
      <w:proofErr w:type="gram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cazul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care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acesta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face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din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categoria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documentelor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regim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special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căror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valabilitate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este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condiționată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prezentarea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forma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originală</w:t>
      </w:r>
      <w:proofErr w:type="spellEnd"/>
      <w:r w:rsidRPr="00964567">
        <w:rPr>
          <w:rFonts w:cstheme="minorHAnsi"/>
          <w:b/>
          <w:bCs/>
          <w:sz w:val="24"/>
          <w:szCs w:val="24"/>
        </w:rPr>
        <w:t>.</w:t>
      </w:r>
    </w:p>
    <w:p w14:paraId="37087E03" w14:textId="77777777" w:rsidR="0022429A" w:rsidRPr="00964567" w:rsidRDefault="0022429A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cazul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participării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comun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procedura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atribuire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garanția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trebuie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constituită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numele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asocierii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menționeze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acoperă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mod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solidar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toți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membrii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grupului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operatori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economici.</w:t>
      </w:r>
    </w:p>
    <w:p w14:paraId="5BD70118" w14:textId="77777777" w:rsidR="0022429A" w:rsidRPr="00964567" w:rsidRDefault="0022429A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Garanția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emisă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altă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limbă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încărca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SEAP,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însoțită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traducerea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autorizată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limba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română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urmând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ca ulterior, la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solicitarea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autorității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fie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prezentată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forma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originală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emisă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statul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reședință</w:t>
      </w:r>
      <w:proofErr w:type="spellEnd"/>
      <w:r w:rsidRPr="00964567">
        <w:rPr>
          <w:rFonts w:cstheme="minorHAnsi"/>
          <w:b/>
          <w:bCs/>
          <w:sz w:val="24"/>
          <w:szCs w:val="24"/>
        </w:rPr>
        <w:t>.</w:t>
      </w:r>
    </w:p>
    <w:p w14:paraId="6251E4E9" w14:textId="77777777" w:rsidR="0022429A" w:rsidRPr="00964567" w:rsidRDefault="0022429A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lastRenderedPageBreak/>
        <w:t>Garanția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returnează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către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entitatea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cel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mult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3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zile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lucrătoare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la data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constituirii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garanției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bună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execuție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cazul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unei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proceduri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atribuire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unui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acord-cadru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precum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cazul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atribuirii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unui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contract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pentru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care nu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este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obligatorie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constituirea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garanției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bună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execuție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garanția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constituită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ofertantul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cărei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ofertă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fost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stabilită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câștigătoare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restituie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către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autoritatea</w:t>
      </w:r>
      <w:proofErr w:type="spellEnd"/>
      <w:r w:rsidRPr="00964567">
        <w:rPr>
          <w:rFonts w:cstheme="minorHAnsi"/>
          <w:b/>
          <w:bCs/>
          <w:sz w:val="24"/>
          <w:szCs w:val="24"/>
        </w:rPr>
        <w:t>/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entitatea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cel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mult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3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zile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lucrătoare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la data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semnării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acordului-cadru</w:t>
      </w:r>
      <w:proofErr w:type="spellEnd"/>
      <w:r w:rsidRPr="00964567">
        <w:rPr>
          <w:rFonts w:cstheme="minorHAnsi"/>
          <w:b/>
          <w:bCs/>
          <w:sz w:val="24"/>
          <w:szCs w:val="24"/>
        </w:rPr>
        <w:t>/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>.</w:t>
      </w:r>
    </w:p>
    <w:p w14:paraId="7AC7ADC3" w14:textId="77777777" w:rsidR="0022429A" w:rsidRPr="00964567" w:rsidRDefault="0022429A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Garanția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constituită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ofertanții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căror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ofertă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nu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fost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stabilită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câștigătoare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restituie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către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entitatea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după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semnarea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achiziție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publică</w:t>
      </w:r>
      <w:proofErr w:type="spellEnd"/>
      <w:r w:rsidRPr="00964567">
        <w:rPr>
          <w:rFonts w:cstheme="minorHAnsi"/>
          <w:b/>
          <w:bCs/>
          <w:sz w:val="24"/>
          <w:szCs w:val="24"/>
        </w:rPr>
        <w:t>/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acordului-cadru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ofertantul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>/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ofertanții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ale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cărui</w:t>
      </w:r>
      <w:proofErr w:type="spellEnd"/>
      <w:r w:rsidRPr="00964567">
        <w:rPr>
          <w:rFonts w:cstheme="minorHAnsi"/>
          <w:b/>
          <w:bCs/>
          <w:sz w:val="24"/>
          <w:szCs w:val="24"/>
        </w:rPr>
        <w:t>/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căror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oferte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fost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desemnate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câștigătoare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dar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nu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mai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târziu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3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zile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lucrătoare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la data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semnării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achiziție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publică</w:t>
      </w:r>
      <w:proofErr w:type="spellEnd"/>
      <w:r w:rsidRPr="00964567">
        <w:rPr>
          <w:rFonts w:cstheme="minorHAnsi"/>
          <w:b/>
          <w:bCs/>
          <w:sz w:val="24"/>
          <w:szCs w:val="24"/>
        </w:rPr>
        <w:t>/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sectorială</w:t>
      </w:r>
      <w:proofErr w:type="spellEnd"/>
      <w:r w:rsidRPr="00964567">
        <w:rPr>
          <w:rFonts w:cstheme="minorHAnsi"/>
          <w:b/>
          <w:bCs/>
          <w:sz w:val="24"/>
          <w:szCs w:val="24"/>
        </w:rPr>
        <w:t>/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acordului-cadru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ofertantul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declarat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câștigător</w:t>
      </w:r>
      <w:proofErr w:type="spellEnd"/>
      <w:r w:rsidRPr="00964567">
        <w:rPr>
          <w:rFonts w:cstheme="minorHAnsi"/>
          <w:b/>
          <w:bCs/>
          <w:sz w:val="24"/>
          <w:szCs w:val="24"/>
        </w:rPr>
        <w:t>.</w:t>
      </w:r>
    </w:p>
    <w:p w14:paraId="5961F9FD" w14:textId="77777777" w:rsidR="0022429A" w:rsidRPr="00964567" w:rsidRDefault="0022429A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cazul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care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entitatea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află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situația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gramStart"/>
      <w:r w:rsidRPr="00964567">
        <w:rPr>
          <w:rFonts w:cstheme="minorHAnsi"/>
          <w:b/>
          <w:bCs/>
          <w:sz w:val="24"/>
          <w:szCs w:val="24"/>
        </w:rPr>
        <w:t>a</w:t>
      </w:r>
      <w:proofErr w:type="gram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anula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procedura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atribuire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garanția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restituie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după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data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expirării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termenului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depunere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unei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contestații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privire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această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decizie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dar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nu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mai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târziu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3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zile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lucrătoare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la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această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dată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. </w:t>
      </w:r>
    </w:p>
    <w:p w14:paraId="1EC04B55" w14:textId="77777777" w:rsidR="0022429A" w:rsidRPr="00964567" w:rsidRDefault="0022429A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După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primirea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comunicării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privind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rezultatul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procedurii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atribuire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ofertanții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ale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căror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oferte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fost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declarate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necâștigătoare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dreptul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gramStart"/>
      <w:r w:rsidRPr="00964567">
        <w:rPr>
          <w:rFonts w:cstheme="minorHAnsi"/>
          <w:b/>
          <w:bCs/>
          <w:sz w:val="24"/>
          <w:szCs w:val="24"/>
        </w:rPr>
        <w:t>a</w:t>
      </w:r>
      <w:proofErr w:type="gram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obține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eliberarea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garanției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înainte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expirarea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termenului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depunere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unei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contestații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dacă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transmit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entității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o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solicitare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acest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sens.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Entitatea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restitui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garanția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cel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mult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3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zile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lucrătoare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la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primirea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unei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solicitări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acest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sens.</w:t>
      </w:r>
      <w:proofErr w:type="spellEnd"/>
    </w:p>
    <w:p w14:paraId="1AC29D4C" w14:textId="77777777" w:rsidR="00964567" w:rsidRPr="00964567" w:rsidRDefault="00964567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7193F8E" w14:textId="77777777" w:rsidR="00964567" w:rsidRPr="00964567" w:rsidRDefault="00964567" w:rsidP="00964567">
      <w:pPr>
        <w:shd w:val="clear" w:color="auto" w:fill="F0F7EB"/>
        <w:spacing w:after="0" w:line="360" w:lineRule="auto"/>
        <w:ind w:left="225" w:right="225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964567">
        <w:rPr>
          <w:rFonts w:eastAsia="Times New Roman" w:cstheme="minorHAnsi"/>
          <w:b/>
          <w:bCs/>
          <w:sz w:val="24"/>
          <w:szCs w:val="24"/>
        </w:rPr>
        <w:t xml:space="preserve">III.1.6.b) </w:t>
      </w:r>
      <w:proofErr w:type="spellStart"/>
      <w:r w:rsidRPr="00964567">
        <w:rPr>
          <w:rFonts w:eastAsia="Times New Roman" w:cstheme="minorHAnsi"/>
          <w:b/>
          <w:bCs/>
          <w:sz w:val="24"/>
          <w:szCs w:val="24"/>
        </w:rPr>
        <w:t>Garantie</w:t>
      </w:r>
      <w:proofErr w:type="spellEnd"/>
      <w:r w:rsidRPr="00964567">
        <w:rPr>
          <w:rFonts w:eastAsia="Times New Roman"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eastAsia="Times New Roman" w:cstheme="minorHAnsi"/>
          <w:b/>
          <w:bCs/>
          <w:sz w:val="24"/>
          <w:szCs w:val="24"/>
        </w:rPr>
        <w:t>bună</w:t>
      </w:r>
      <w:proofErr w:type="spellEnd"/>
      <w:r w:rsidRPr="00964567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eastAsia="Times New Roman" w:cstheme="minorHAnsi"/>
          <w:b/>
          <w:bCs/>
          <w:sz w:val="24"/>
          <w:szCs w:val="24"/>
        </w:rPr>
        <w:t>execuţie</w:t>
      </w:r>
      <w:proofErr w:type="spellEnd"/>
      <w:r w:rsidRPr="00964567">
        <w:rPr>
          <w:rFonts w:eastAsia="Times New Roman" w:cstheme="minorHAnsi"/>
          <w:b/>
          <w:bCs/>
          <w:sz w:val="24"/>
          <w:szCs w:val="24"/>
        </w:rPr>
        <w:t>: *</w:t>
      </w:r>
    </w:p>
    <w:p w14:paraId="5EA80758" w14:textId="00697A19" w:rsidR="00964567" w:rsidRPr="00964567" w:rsidRDefault="00964567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Contractantul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obligă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constituie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garanţia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bună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execuţie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cuantum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.............................. </w:t>
      </w:r>
      <w:r w:rsidRPr="00964567">
        <w:rPr>
          <w:rFonts w:cstheme="minorHAnsi"/>
          <w:b/>
          <w:bCs/>
          <w:sz w:val="24"/>
          <w:szCs w:val="24"/>
        </w:rPr>
        <w:t>l</w:t>
      </w:r>
      <w:r w:rsidRPr="00964567">
        <w:rPr>
          <w:rFonts w:cstheme="minorHAnsi"/>
          <w:b/>
          <w:bCs/>
          <w:sz w:val="24"/>
          <w:szCs w:val="24"/>
        </w:rPr>
        <w:t xml:space="preserve">ei,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pentru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perioada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valabilitate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Cuantumul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garanţiei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bună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execuţie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este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stabilit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10% din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preţul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fără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T.V.A.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Garanţia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bună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execuţie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constitui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înainte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începerea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executării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maximum 5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zile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lucrătoare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la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semnarea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acestuia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către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ambele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părţi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Acest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termen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poate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fi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prelungit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solicitarea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justificată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fără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depăşi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15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zile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la data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semnării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sectorial.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cazul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care pe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parcursul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executării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sectorial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suplimentează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valoarea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acestuia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are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obligaţia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completa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garanţia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bună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execuţie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corelaţie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noua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valoare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contactului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sectorial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produse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.  </w:t>
      </w:r>
    </w:p>
    <w:p w14:paraId="6F2EB639" w14:textId="77777777" w:rsidR="00964567" w:rsidRPr="00964567" w:rsidRDefault="00964567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4567">
        <w:rPr>
          <w:rFonts w:cstheme="minorHAnsi"/>
          <w:b/>
          <w:bCs/>
          <w:sz w:val="24"/>
          <w:szCs w:val="24"/>
        </w:rPr>
        <w:lastRenderedPageBreak/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Garanţia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bună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execuţie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constituie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astfel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:  </w:t>
      </w:r>
    </w:p>
    <w:p w14:paraId="6E11A130" w14:textId="77777777" w:rsidR="00964567" w:rsidRPr="00964567" w:rsidRDefault="00964567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4567">
        <w:rPr>
          <w:rFonts w:cstheme="minorHAnsi"/>
          <w:b/>
          <w:bCs/>
          <w:sz w:val="24"/>
          <w:szCs w:val="24"/>
        </w:rPr>
        <w:t xml:space="preserve">a)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virament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bancar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RO 72 RNCB 0074 1643 5032 0004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deschis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BCR sector 3, Bucuresti, Cod fiscal: RO41269473;  </w:t>
      </w:r>
    </w:p>
    <w:p w14:paraId="3561B1A3" w14:textId="77777777" w:rsidR="00964567" w:rsidRPr="00964567" w:rsidRDefault="00964567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4567">
        <w:rPr>
          <w:rFonts w:cstheme="minorHAnsi"/>
          <w:b/>
          <w:bCs/>
          <w:sz w:val="24"/>
          <w:szCs w:val="24"/>
        </w:rPr>
        <w:t xml:space="preserve">b)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instrumente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garantare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emise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condiţiile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legii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astfel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:  </w:t>
      </w:r>
    </w:p>
    <w:p w14:paraId="7FE89626" w14:textId="77777777" w:rsidR="00964567" w:rsidRPr="00964567" w:rsidRDefault="00964567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4567">
        <w:rPr>
          <w:rFonts w:cstheme="minorHAnsi"/>
          <w:b/>
          <w:bCs/>
          <w:sz w:val="24"/>
          <w:szCs w:val="24"/>
        </w:rPr>
        <w:t>(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)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scrisori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garanţie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emise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instituţii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credit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bancare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din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România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sau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din alt stat;  </w:t>
      </w:r>
    </w:p>
    <w:p w14:paraId="18D52B24" w14:textId="77777777" w:rsidR="00964567" w:rsidRPr="00964567" w:rsidRDefault="00964567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4567">
        <w:rPr>
          <w:rFonts w:cstheme="minorHAnsi"/>
          <w:b/>
          <w:bCs/>
          <w:sz w:val="24"/>
          <w:szCs w:val="24"/>
        </w:rPr>
        <w:t xml:space="preserve">(ii)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scrisori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garanţie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emise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instituţii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financiare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nebancare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din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România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sau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din alt stat;  </w:t>
      </w:r>
    </w:p>
    <w:p w14:paraId="44E4B6F4" w14:textId="77777777" w:rsidR="00964567" w:rsidRPr="00964567" w:rsidRDefault="00964567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4567">
        <w:rPr>
          <w:rFonts w:cstheme="minorHAnsi"/>
          <w:b/>
          <w:bCs/>
          <w:sz w:val="24"/>
          <w:szCs w:val="24"/>
        </w:rPr>
        <w:t xml:space="preserve">(iii)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asigurări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garanţii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emise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:  </w:t>
      </w:r>
    </w:p>
    <w:p w14:paraId="154B954C" w14:textId="77777777" w:rsidR="00964567" w:rsidRPr="00964567" w:rsidRDefault="00964567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4567">
        <w:rPr>
          <w:rFonts w:cstheme="minorHAnsi"/>
          <w:b/>
          <w:bCs/>
          <w:sz w:val="24"/>
          <w:szCs w:val="24"/>
        </w:rPr>
        <w:t xml:space="preserve">- fie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societăţi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asigurare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care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deţin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autorizaţii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funcţionare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emise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România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sau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într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-un alt stat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membru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al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Uniunii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Europene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şi</w:t>
      </w:r>
      <w:proofErr w:type="spellEnd"/>
      <w:r w:rsidRPr="00964567">
        <w:rPr>
          <w:rFonts w:cstheme="minorHAnsi"/>
          <w:b/>
          <w:bCs/>
          <w:sz w:val="24"/>
          <w:szCs w:val="24"/>
        </w:rPr>
        <w:t>/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sau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care sunt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înscrise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registrele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publicate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pe site-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Autorităţii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Supraveghere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Financiară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după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caz</w:t>
      </w:r>
      <w:proofErr w:type="spellEnd"/>
      <w:r w:rsidRPr="00964567">
        <w:rPr>
          <w:rFonts w:cstheme="minorHAnsi"/>
          <w:b/>
          <w:bCs/>
          <w:sz w:val="24"/>
          <w:szCs w:val="24"/>
        </w:rPr>
        <w:t>; </w:t>
      </w:r>
    </w:p>
    <w:p w14:paraId="0FAB323E" w14:textId="77777777" w:rsidR="00964567" w:rsidRPr="00964567" w:rsidRDefault="00964567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4567">
        <w:rPr>
          <w:rFonts w:cstheme="minorHAnsi"/>
          <w:b/>
          <w:bCs/>
          <w:sz w:val="24"/>
          <w:szCs w:val="24"/>
        </w:rPr>
        <w:t xml:space="preserve">- fie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societăţi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asigurare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din state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terţe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prin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sucursale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autorizate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România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către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Autoritatea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Supraveghere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Financiară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;  </w:t>
      </w:r>
    </w:p>
    <w:p w14:paraId="35B33FC1" w14:textId="77777777" w:rsidR="00964567" w:rsidRPr="00964567" w:rsidRDefault="00964567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4567">
        <w:rPr>
          <w:rFonts w:cstheme="minorHAnsi"/>
          <w:b/>
          <w:bCs/>
          <w:sz w:val="24"/>
          <w:szCs w:val="24"/>
        </w:rPr>
        <w:t xml:space="preserve">c)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reţineri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succesive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din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sumele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datorate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pentru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facturi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parţiale</w:t>
      </w:r>
      <w:proofErr w:type="spellEnd"/>
      <w:r w:rsidRPr="00964567">
        <w:rPr>
          <w:rFonts w:cstheme="minorHAnsi"/>
          <w:b/>
          <w:bCs/>
          <w:sz w:val="24"/>
          <w:szCs w:val="24"/>
        </w:rPr>
        <w:t>; </w:t>
      </w:r>
    </w:p>
    <w:p w14:paraId="38A190AD" w14:textId="77777777" w:rsidR="00964567" w:rsidRPr="00964567" w:rsidRDefault="00964567" w:rsidP="00964567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4567">
        <w:rPr>
          <w:rFonts w:cstheme="minorHAnsi"/>
          <w:b/>
          <w:bCs/>
          <w:sz w:val="24"/>
          <w:szCs w:val="24"/>
        </w:rPr>
        <w:t xml:space="preserve">d)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prin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combinarea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două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sau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mai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multe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dintre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modalităţile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constituire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prevăzute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lit. a)-c).  </w:t>
      </w:r>
    </w:p>
    <w:p w14:paraId="29381437" w14:textId="4BB16235" w:rsidR="00964567" w:rsidRPr="00964567" w:rsidRDefault="00964567" w:rsidP="0096456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sensul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alin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. alin.2 lit. c),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are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obligaţia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deschide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un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dispoziţia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Entităţii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la o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bancă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agreată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ambele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părţi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. Suma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iniţială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care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depune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către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disponibil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astfel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deschis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nu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trebuie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fie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mai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mică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0,5% din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preţul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sectorial,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fără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TVA.  Pe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parcursul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îndeplinirii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sectorial,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Entitatea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urmează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alimenteze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disponibil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prevăzut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</w:t>
      </w:r>
      <w:hyperlink r:id="rId5" w:history="1">
        <w:proofErr w:type="spellStart"/>
        <w:r w:rsidRPr="00964567">
          <w:rPr>
            <w:rFonts w:cstheme="minorHAnsi"/>
            <w:b/>
            <w:bCs/>
            <w:sz w:val="24"/>
            <w:szCs w:val="24"/>
          </w:rPr>
          <w:t>alin</w:t>
        </w:r>
        <w:proofErr w:type="spellEnd"/>
        <w:r w:rsidRPr="00964567">
          <w:rPr>
            <w:rFonts w:cstheme="minorHAnsi"/>
            <w:b/>
            <w:bCs/>
            <w:sz w:val="24"/>
            <w:szCs w:val="24"/>
          </w:rPr>
          <w:t>. (4)</w:t>
        </w:r>
      </w:hyperlink>
      <w:r w:rsidRPr="00964567">
        <w:rPr>
          <w:rFonts w:cstheme="minorHAnsi"/>
          <w:b/>
          <w:bCs/>
          <w:sz w:val="24"/>
          <w:szCs w:val="24"/>
        </w:rPr>
        <w:t xml:space="preserve"> din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Legea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99/2016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privind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achizițiile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sectoriale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cu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modificările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completările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964567">
        <w:rPr>
          <w:rFonts w:cstheme="minorHAnsi"/>
          <w:b/>
          <w:bCs/>
          <w:sz w:val="24"/>
          <w:szCs w:val="24"/>
        </w:rPr>
        <w:t>ulterioare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>,,</w:t>
      </w:r>
      <w:proofErr w:type="gram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prin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reţineri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succesive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din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sumele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datorate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şi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cuvenite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până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concurenţa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sumei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stabilite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drept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garanţie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bună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execuţie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sectorial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şi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înştiinţa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despre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vărsământul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efectuat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precum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şi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despre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destinaţia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. 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disponibil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prevăzut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</w:t>
      </w:r>
      <w:hyperlink r:id="rId6" w:history="1">
        <w:proofErr w:type="spellStart"/>
        <w:r w:rsidRPr="00964567">
          <w:rPr>
            <w:rFonts w:cstheme="minorHAnsi"/>
            <w:b/>
            <w:bCs/>
            <w:sz w:val="24"/>
            <w:szCs w:val="24"/>
          </w:rPr>
          <w:t>alin</w:t>
        </w:r>
        <w:proofErr w:type="spellEnd"/>
        <w:r w:rsidRPr="00964567">
          <w:rPr>
            <w:rFonts w:cstheme="minorHAnsi"/>
            <w:b/>
            <w:bCs/>
            <w:sz w:val="24"/>
            <w:szCs w:val="24"/>
          </w:rPr>
          <w:t>. (4)</w:t>
        </w:r>
      </w:hyperlink>
      <w:r w:rsidRPr="00964567">
        <w:rPr>
          <w:rFonts w:cstheme="minorHAnsi"/>
          <w:b/>
          <w:bCs/>
          <w:sz w:val="24"/>
          <w:szCs w:val="24"/>
        </w:rPr>
        <w:t xml:space="preserve"> din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Legea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99/2016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privind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achizițiile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sectoriale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cu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modificările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completările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964567">
        <w:rPr>
          <w:rFonts w:cstheme="minorHAnsi"/>
          <w:b/>
          <w:bCs/>
          <w:sz w:val="24"/>
          <w:szCs w:val="24"/>
        </w:rPr>
        <w:t>ulterioare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>,,</w:t>
      </w:r>
      <w:proofErr w:type="gram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este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purtător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dobândă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favoarea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.  </w:t>
      </w:r>
    </w:p>
    <w:p w14:paraId="41DAA6AB" w14:textId="09EDBDE9" w:rsidR="00964567" w:rsidRPr="00964567" w:rsidRDefault="00964567" w:rsidP="0096456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lastRenderedPageBreak/>
        <w:t>Garanţia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bună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execuţie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constituită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conform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prevederilor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art. 164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alin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. (4) din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Legea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r w:rsidRPr="00964567">
        <w:rPr>
          <w:rFonts w:cstheme="minorHAnsi"/>
          <w:b/>
          <w:bCs/>
          <w:sz w:val="24"/>
          <w:szCs w:val="24"/>
        </w:rPr>
        <w:t xml:space="preserve">nr. </w:t>
      </w:r>
      <w:r w:rsidRPr="00964567">
        <w:rPr>
          <w:rFonts w:cstheme="minorHAnsi"/>
          <w:b/>
          <w:bCs/>
          <w:sz w:val="24"/>
          <w:szCs w:val="24"/>
        </w:rPr>
        <w:t>99</w:t>
      </w:r>
      <w:r w:rsidRPr="00964567">
        <w:rPr>
          <w:rFonts w:cstheme="minorHAnsi"/>
          <w:b/>
          <w:bCs/>
          <w:sz w:val="24"/>
          <w:szCs w:val="24"/>
        </w:rPr>
        <w:t>/2016</w:t>
      </w:r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privind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achizițiile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sectoriale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cu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modificările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completările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ulterioare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devine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anexă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contract.</w:t>
      </w:r>
    </w:p>
    <w:p w14:paraId="7C38D658" w14:textId="77777777" w:rsidR="00964567" w:rsidRPr="00964567" w:rsidRDefault="00964567" w:rsidP="00964567">
      <w:pPr>
        <w:autoSpaceDN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Entitatea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va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emite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comanda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fermă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achiziție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numai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după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facut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dovada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constituirii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garanției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bună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execuție</w:t>
      </w:r>
      <w:proofErr w:type="spellEnd"/>
      <w:r w:rsidRPr="00964567">
        <w:rPr>
          <w:rFonts w:cstheme="minorHAnsi"/>
          <w:b/>
          <w:bCs/>
          <w:sz w:val="24"/>
          <w:szCs w:val="24"/>
        </w:rPr>
        <w:t>.</w:t>
      </w:r>
    </w:p>
    <w:p w14:paraId="2B83E136" w14:textId="77777777" w:rsidR="00964567" w:rsidRPr="00964567" w:rsidRDefault="00964567" w:rsidP="00964567">
      <w:pPr>
        <w:autoSpaceDN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Entitatea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are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dreptul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gramStart"/>
      <w:r w:rsidRPr="00964567">
        <w:rPr>
          <w:rFonts w:cstheme="minorHAnsi"/>
          <w:b/>
          <w:bCs/>
          <w:sz w:val="24"/>
          <w:szCs w:val="24"/>
        </w:rPr>
        <w:t>a</w:t>
      </w:r>
      <w:proofErr w:type="gram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emite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pretenții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asupra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garanției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bună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execuție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condițiile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legii</w:t>
      </w:r>
      <w:proofErr w:type="spellEnd"/>
      <w:r w:rsidRPr="00964567">
        <w:rPr>
          <w:rFonts w:cstheme="minorHAnsi"/>
          <w:b/>
          <w:bCs/>
          <w:sz w:val="24"/>
          <w:szCs w:val="24"/>
        </w:rPr>
        <w:t>.</w:t>
      </w:r>
    </w:p>
    <w:p w14:paraId="7D63962D" w14:textId="537BAD71" w:rsidR="00964567" w:rsidRPr="00964567" w:rsidRDefault="00964567" w:rsidP="00964567">
      <w:pPr>
        <w:autoSpaceDN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sz w:val="24"/>
          <w:szCs w:val="24"/>
        </w:rPr>
        <w:t>Entitatea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contractantă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se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obligă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restituie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sau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deblocheze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dupa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caz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garanţia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bună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execuţie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termen de 14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zile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la data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întocmirii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procesului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-verbal de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recepţie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serviciilor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care fac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obiectul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prezentului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Contract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şi</w:t>
      </w:r>
      <w:proofErr w:type="spellEnd"/>
      <w:r w:rsidRPr="00964567">
        <w:rPr>
          <w:rFonts w:cstheme="minorHAnsi"/>
          <w:b/>
          <w:bCs/>
          <w:sz w:val="24"/>
          <w:szCs w:val="24"/>
        </w:rPr>
        <w:t>/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sau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de la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plata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facturii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finale,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dacă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nu 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ridicat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până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la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acea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dată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pretenţii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asupra</w:t>
      </w:r>
      <w:proofErr w:type="spellEnd"/>
      <w:r w:rsidRPr="0096456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ei</w:t>
      </w:r>
      <w:proofErr w:type="spellEnd"/>
      <w:r w:rsidRPr="00964567">
        <w:rPr>
          <w:rFonts w:cstheme="minorHAnsi"/>
          <w:b/>
          <w:bCs/>
          <w:sz w:val="24"/>
          <w:szCs w:val="24"/>
        </w:rPr>
        <w:t>.</w:t>
      </w:r>
    </w:p>
    <w:p w14:paraId="501D7082" w14:textId="77777777" w:rsidR="00CC3754" w:rsidRPr="00964567" w:rsidRDefault="00CC3754" w:rsidP="00964567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147209A4" w14:textId="77777777" w:rsidR="00CC3754" w:rsidRPr="00964567" w:rsidRDefault="00CC3754" w:rsidP="00964567">
      <w:pPr>
        <w:shd w:val="clear" w:color="auto" w:fill="F0F7EB"/>
        <w:spacing w:after="0" w:line="360" w:lineRule="auto"/>
        <w:ind w:left="225" w:right="225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964567">
        <w:rPr>
          <w:rFonts w:eastAsia="Times New Roman" w:cstheme="minorHAnsi"/>
          <w:b/>
          <w:bCs/>
          <w:sz w:val="24"/>
          <w:szCs w:val="24"/>
        </w:rPr>
        <w:t xml:space="preserve">VI.4.3 </w:t>
      </w:r>
      <w:proofErr w:type="spellStart"/>
      <w:r w:rsidRPr="00964567">
        <w:rPr>
          <w:rFonts w:eastAsia="Times New Roman" w:cstheme="minorHAnsi"/>
          <w:b/>
          <w:bCs/>
          <w:sz w:val="24"/>
          <w:szCs w:val="24"/>
        </w:rPr>
        <w:t>Procedura</w:t>
      </w:r>
      <w:proofErr w:type="spellEnd"/>
      <w:r w:rsidRPr="00964567">
        <w:rPr>
          <w:rFonts w:eastAsia="Times New Roman" w:cstheme="minorHAnsi"/>
          <w:b/>
          <w:bCs/>
          <w:sz w:val="24"/>
          <w:szCs w:val="24"/>
        </w:rPr>
        <w:t xml:space="preserve"> de </w:t>
      </w:r>
      <w:proofErr w:type="spellStart"/>
      <w:r w:rsidRPr="00964567">
        <w:rPr>
          <w:rFonts w:eastAsia="Times New Roman" w:cstheme="minorHAnsi"/>
          <w:b/>
          <w:bCs/>
          <w:sz w:val="24"/>
          <w:szCs w:val="24"/>
        </w:rPr>
        <w:t>contestare</w:t>
      </w:r>
      <w:proofErr w:type="spellEnd"/>
    </w:p>
    <w:p w14:paraId="75E886F5" w14:textId="77777777" w:rsidR="00CC3754" w:rsidRPr="00964567" w:rsidRDefault="00CC3754" w:rsidP="00964567">
      <w:pPr>
        <w:shd w:val="clear" w:color="auto" w:fill="F0F7EB"/>
        <w:spacing w:after="0" w:line="360" w:lineRule="auto"/>
        <w:ind w:left="225" w:right="225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964567">
        <w:rPr>
          <w:rFonts w:eastAsia="Times New Roman" w:cstheme="minorHAnsi"/>
          <w:b/>
          <w:bCs/>
          <w:sz w:val="24"/>
          <w:szCs w:val="24"/>
        </w:rPr>
        <w:t>PRECIZARI PRIVIND TERMENUL (TERMENELE) PENTRU PROCEDURILE DE CONTESTARE</w:t>
      </w:r>
    </w:p>
    <w:p w14:paraId="748E4F8D" w14:textId="77777777" w:rsidR="00CC3754" w:rsidRPr="00964567" w:rsidRDefault="00CC3754" w:rsidP="00964567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128EB974" w14:textId="77777777" w:rsidR="00CC3754" w:rsidRPr="00964567" w:rsidRDefault="00CC3754" w:rsidP="00964567">
      <w:pPr>
        <w:spacing w:before="120" w:after="120" w:line="360" w:lineRule="auto"/>
        <w:jc w:val="both"/>
        <w:rPr>
          <w:rFonts w:cstheme="minorHAnsi"/>
          <w:b/>
          <w:bCs/>
          <w:i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conformitate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cu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Legea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nr. 101/2016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privind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remediile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căile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atac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materie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atribuire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contractelor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achiziție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publică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, a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contractelor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sectoriale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contractelor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concesiune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lucrări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concesiune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servicii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, precum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pentru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organizarea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funcționarea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Consiliului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National de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Soluționare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Contestațiilor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publicat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Monitorul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Oficial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al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României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nr. 393 din 23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mai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2016, cu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modificările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completările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ulterioare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>.</w:t>
      </w:r>
    </w:p>
    <w:p w14:paraId="6618EFCF" w14:textId="77777777" w:rsidR="00155822" w:rsidRPr="00964567" w:rsidRDefault="00155822" w:rsidP="00964567">
      <w:pPr>
        <w:spacing w:before="120" w:after="120" w:line="36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964567">
        <w:rPr>
          <w:rFonts w:cstheme="minorHAnsi"/>
          <w:b/>
          <w:bCs/>
          <w:iCs/>
          <w:sz w:val="24"/>
          <w:szCs w:val="24"/>
        </w:rPr>
        <w:t xml:space="preserve">Conform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prevederilor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Legii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101/2016,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orice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persoană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care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consideră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că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a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fost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vătămată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de o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eroare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sau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de o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neregulă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printr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-un act al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autorității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>/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entității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contractante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, care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încalcă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legile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privind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achizițiile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publice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poate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depune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o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plângere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termen de </w:t>
      </w:r>
      <w:r w:rsidRPr="00964567">
        <w:rPr>
          <w:rFonts w:cstheme="minorHAnsi"/>
          <w:b/>
          <w:bCs/>
          <w:sz w:val="24"/>
          <w:szCs w:val="24"/>
        </w:rPr>
        <w:t xml:space="preserve">10 </w:t>
      </w:r>
      <w:proofErr w:type="spellStart"/>
      <w:r w:rsidRPr="00964567">
        <w:rPr>
          <w:rFonts w:cstheme="minorHAnsi"/>
          <w:b/>
          <w:bCs/>
          <w:sz w:val="24"/>
          <w:szCs w:val="24"/>
        </w:rPr>
        <w:t>zile</w:t>
      </w:r>
      <w:proofErr w:type="spellEnd"/>
      <w:r w:rsidRPr="00964567">
        <w:rPr>
          <w:rFonts w:cstheme="minorHAnsi"/>
          <w:b/>
          <w:bCs/>
          <w:i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începând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cu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ziua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următoare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luării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la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cunoștință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despre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actul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entității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contractante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considerat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nelegal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>:</w:t>
      </w:r>
    </w:p>
    <w:p w14:paraId="661EC6B0" w14:textId="77777777" w:rsidR="00CC3754" w:rsidRPr="00964567" w:rsidRDefault="00CC3754" w:rsidP="00964567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cstheme="minorHAnsi"/>
          <w:b/>
          <w:bCs/>
          <w:iCs/>
          <w:sz w:val="24"/>
          <w:szCs w:val="24"/>
        </w:rPr>
      </w:pPr>
      <w:r w:rsidRPr="00964567">
        <w:rPr>
          <w:rFonts w:cstheme="minorHAnsi"/>
          <w:b/>
          <w:bCs/>
          <w:iCs/>
          <w:sz w:val="24"/>
          <w:szCs w:val="24"/>
        </w:rPr>
        <w:t>fie pe cale administrativ-jurisdicțională la Consiliul Național de Soluționare a Contestațiilor;</w:t>
      </w:r>
    </w:p>
    <w:p w14:paraId="45B92AA0" w14:textId="77777777" w:rsidR="00CC3754" w:rsidRPr="00964567" w:rsidRDefault="00CC3754" w:rsidP="00964567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cstheme="minorHAnsi"/>
          <w:b/>
          <w:bCs/>
          <w:iCs/>
          <w:sz w:val="24"/>
          <w:szCs w:val="24"/>
        </w:rPr>
      </w:pPr>
      <w:r w:rsidRPr="00964567">
        <w:rPr>
          <w:rFonts w:cstheme="minorHAnsi"/>
          <w:b/>
          <w:bCs/>
          <w:iCs/>
          <w:sz w:val="24"/>
          <w:szCs w:val="24"/>
        </w:rPr>
        <w:t>fie pe cale judiciară la instanța de judecată.</w:t>
      </w:r>
    </w:p>
    <w:p w14:paraId="07F7E433" w14:textId="5DC2139C" w:rsidR="00E75296" w:rsidRPr="00964567" w:rsidRDefault="00CC3754" w:rsidP="00964567">
      <w:pPr>
        <w:spacing w:line="360" w:lineRule="auto"/>
        <w:rPr>
          <w:rFonts w:cstheme="minorHAnsi"/>
          <w:b/>
          <w:bCs/>
          <w:iCs/>
          <w:sz w:val="24"/>
          <w:szCs w:val="24"/>
        </w:rPr>
      </w:pP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Indiferent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de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procedura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aleasă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,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contestația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va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fi transm</w:t>
      </w:r>
      <w:r w:rsidR="002609FD" w:rsidRPr="00964567">
        <w:rPr>
          <w:rFonts w:cstheme="minorHAnsi"/>
          <w:b/>
          <w:bCs/>
          <w:iCs/>
          <w:sz w:val="24"/>
          <w:szCs w:val="24"/>
        </w:rPr>
        <w:t>0</w:t>
      </w:r>
      <w:r w:rsidRPr="00964567">
        <w:rPr>
          <w:rFonts w:cstheme="minorHAnsi"/>
          <w:b/>
          <w:bCs/>
          <w:iCs/>
          <w:sz w:val="24"/>
          <w:szCs w:val="24"/>
        </w:rPr>
        <w:t xml:space="preserve">isă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în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același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timp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și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entității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964567">
        <w:rPr>
          <w:rFonts w:cstheme="minorHAnsi"/>
          <w:b/>
          <w:bCs/>
          <w:iCs/>
          <w:sz w:val="24"/>
          <w:szCs w:val="24"/>
        </w:rPr>
        <w:t>contractante</w:t>
      </w:r>
      <w:proofErr w:type="spellEnd"/>
      <w:r w:rsidRPr="00964567">
        <w:rPr>
          <w:rFonts w:cstheme="minorHAnsi"/>
          <w:b/>
          <w:bCs/>
          <w:iCs/>
          <w:sz w:val="24"/>
          <w:szCs w:val="24"/>
        </w:rPr>
        <w:t>.</w:t>
      </w:r>
    </w:p>
    <w:sectPr w:rsidR="00E75296" w:rsidRPr="00964567" w:rsidSect="0006004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D23A4"/>
    <w:multiLevelType w:val="hybridMultilevel"/>
    <w:tmpl w:val="2CD2F890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73643A7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0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3B"/>
    <w:rsid w:val="00056B37"/>
    <w:rsid w:val="00060048"/>
    <w:rsid w:val="00155822"/>
    <w:rsid w:val="001A7B12"/>
    <w:rsid w:val="0022429A"/>
    <w:rsid w:val="002609FD"/>
    <w:rsid w:val="002666C5"/>
    <w:rsid w:val="002913DD"/>
    <w:rsid w:val="002B42DC"/>
    <w:rsid w:val="002F7636"/>
    <w:rsid w:val="003560ED"/>
    <w:rsid w:val="00371E39"/>
    <w:rsid w:val="003B61AC"/>
    <w:rsid w:val="0066404A"/>
    <w:rsid w:val="008C781E"/>
    <w:rsid w:val="00902232"/>
    <w:rsid w:val="00910F33"/>
    <w:rsid w:val="00964567"/>
    <w:rsid w:val="00A260E8"/>
    <w:rsid w:val="00AA3CED"/>
    <w:rsid w:val="00B82FC7"/>
    <w:rsid w:val="00CC3754"/>
    <w:rsid w:val="00D930B9"/>
    <w:rsid w:val="00E07826"/>
    <w:rsid w:val="00E45DA2"/>
    <w:rsid w:val="00E75296"/>
    <w:rsid w:val="00F64502"/>
    <w:rsid w:val="00F65DF4"/>
    <w:rsid w:val="00F77988"/>
    <w:rsid w:val="00FD4EF1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B10F"/>
  <w15:chartTrackingRefBased/>
  <w15:docId w15:val="{C4B399A0-3197-4A96-898F-ADCACDDB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242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2429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quired">
    <w:name w:val="required"/>
    <w:basedOn w:val="DefaultParagraphFont"/>
    <w:rsid w:val="0022429A"/>
  </w:style>
  <w:style w:type="paragraph" w:styleId="ListParagraph">
    <w:name w:val="List Paragraph"/>
    <w:aliases w:val="Forth level,Citation List,본문(내용),List Paragraph (numbered (a))"/>
    <w:basedOn w:val="Normal"/>
    <w:link w:val="ListParagraphChar"/>
    <w:uiPriority w:val="1"/>
    <w:qFormat/>
    <w:rsid w:val="00CC3754"/>
    <w:pPr>
      <w:ind w:left="720"/>
      <w:contextualSpacing/>
    </w:pPr>
    <w:rPr>
      <w:lang w:val="ro-RO"/>
    </w:rPr>
  </w:style>
  <w:style w:type="character" w:customStyle="1" w:styleId="ListParagraphChar">
    <w:name w:val="List Paragraph Char"/>
    <w:aliases w:val="Forth level Char,Citation List Char,본문(내용) Char,List Paragraph (numbered (a)) Char"/>
    <w:link w:val="ListParagraph"/>
    <w:uiPriority w:val="1"/>
    <w:locked/>
    <w:rsid w:val="00CC375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31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ct:1202302%20100797222" TargetMode="External"/><Relationship Id="rId5" Type="http://schemas.openxmlformats.org/officeDocument/2006/relationships/hyperlink" Target="act:1202302%20100797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Compania Municipala Termoenergetica Bucuresti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PISCARAC</dc:creator>
  <cp:keywords/>
  <dc:description/>
  <cp:lastModifiedBy>Monica TOMA-MIHAI</cp:lastModifiedBy>
  <cp:revision>26</cp:revision>
  <cp:lastPrinted>2024-10-21T05:05:00Z</cp:lastPrinted>
  <dcterms:created xsi:type="dcterms:W3CDTF">2023-12-14T08:18:00Z</dcterms:created>
  <dcterms:modified xsi:type="dcterms:W3CDTF">2026-05-28T10:40:00Z</dcterms:modified>
</cp:coreProperties>
</file>