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8F1" w:rsidRPr="00370E46" w:rsidRDefault="00E228F1" w:rsidP="00311F16">
      <w:pPr>
        <w:pStyle w:val="NoSpacing"/>
        <w:spacing w:line="276" w:lineRule="auto"/>
        <w:jc w:val="both"/>
        <w:rPr>
          <w:rFonts w:ascii="Times New Roman" w:hAnsi="Times New Roman" w:cs="Times New Roman"/>
          <w:b/>
          <w:sz w:val="24"/>
          <w:szCs w:val="24"/>
        </w:rPr>
      </w:pPr>
      <w:r w:rsidRPr="00370E46">
        <w:rPr>
          <w:rFonts w:ascii="Times New Roman" w:hAnsi="Times New Roman" w:cs="Times New Roman"/>
          <w:b/>
          <w:sz w:val="24"/>
          <w:szCs w:val="24"/>
        </w:rPr>
        <w:t>FACTORI DE EVALUARE</w:t>
      </w:r>
    </w:p>
    <w:p w:rsidR="00E228F1" w:rsidRPr="00370E46" w:rsidRDefault="00E228F1" w:rsidP="00311F16">
      <w:pPr>
        <w:pStyle w:val="NoSpacing"/>
        <w:spacing w:line="276" w:lineRule="auto"/>
        <w:jc w:val="both"/>
        <w:rPr>
          <w:rFonts w:ascii="Times New Roman" w:hAnsi="Times New Roman" w:cs="Times New Roman"/>
          <w:b/>
          <w:sz w:val="24"/>
          <w:szCs w:val="24"/>
        </w:rPr>
      </w:pPr>
    </w:p>
    <w:p w:rsidR="00311F16" w:rsidRPr="00370E46" w:rsidRDefault="00311F16" w:rsidP="00311F16">
      <w:pPr>
        <w:pStyle w:val="NoSpacing"/>
        <w:spacing w:line="276" w:lineRule="auto"/>
        <w:jc w:val="both"/>
        <w:rPr>
          <w:rFonts w:ascii="Times New Roman" w:hAnsi="Times New Roman" w:cs="Times New Roman"/>
          <w:sz w:val="24"/>
          <w:szCs w:val="24"/>
        </w:rPr>
      </w:pPr>
      <w:r w:rsidRPr="00370E46">
        <w:rPr>
          <w:rFonts w:ascii="Times New Roman" w:hAnsi="Times New Roman" w:cs="Times New Roman"/>
          <w:b/>
          <w:sz w:val="24"/>
          <w:szCs w:val="24"/>
        </w:rPr>
        <w:t xml:space="preserve">Criterii de atribuire: </w:t>
      </w:r>
      <w:r w:rsidRPr="00370E46">
        <w:rPr>
          <w:rFonts w:ascii="Times New Roman" w:hAnsi="Times New Roman" w:cs="Times New Roman"/>
          <w:b/>
          <w:sz w:val="24"/>
          <w:szCs w:val="24"/>
          <w:u w:val="single"/>
        </w:rPr>
        <w:t>„cel mai bun raport calitate - pret”.</w:t>
      </w:r>
    </w:p>
    <w:p w:rsidR="00311F16" w:rsidRPr="00370E46" w:rsidRDefault="00311F16" w:rsidP="00311F16">
      <w:pPr>
        <w:ind w:right="110"/>
        <w:jc w:val="both"/>
        <w:rPr>
          <w:sz w:val="24"/>
          <w:szCs w:val="24"/>
        </w:rPr>
      </w:pPr>
      <w:r w:rsidRPr="00370E46">
        <w:rPr>
          <w:noProof/>
          <w:sz w:val="24"/>
          <w:szCs w:val="24"/>
          <w:lang w:val="en-GB" w:eastAsia="en-GB"/>
        </w:rPr>
        <w:drawing>
          <wp:inline distT="0" distB="0" distL="0" distR="0">
            <wp:extent cx="12700" cy="25400"/>
            <wp:effectExtent l="0" t="0" r="0" b="0"/>
            <wp:docPr id="1" name="Picture 14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25400"/>
                    </a:xfrm>
                    <a:prstGeom prst="rect">
                      <a:avLst/>
                    </a:prstGeom>
                    <a:noFill/>
                    <a:ln>
                      <a:noFill/>
                    </a:ln>
                  </pic:spPr>
                </pic:pic>
              </a:graphicData>
            </a:graphic>
          </wp:inline>
        </w:drawing>
      </w:r>
      <w:r w:rsidRPr="00370E46">
        <w:rPr>
          <w:sz w:val="24"/>
          <w:szCs w:val="24"/>
        </w:rPr>
        <w:t>Factorii de evaluare stabiliți sunt:</w:t>
      </w:r>
    </w:p>
    <w:p w:rsidR="00311F16" w:rsidRPr="00370E46" w:rsidRDefault="00311F16" w:rsidP="00311F16">
      <w:pPr>
        <w:pStyle w:val="NormalWeb"/>
        <w:spacing w:before="0" w:beforeAutospacing="0" w:after="0" w:afterAutospacing="0" w:line="276" w:lineRule="auto"/>
        <w:jc w:val="both"/>
        <w:rPr>
          <w:lang w:val="ro-RO"/>
        </w:rPr>
      </w:pPr>
    </w:p>
    <w:p w:rsidR="00370E46" w:rsidRPr="00370E46" w:rsidRDefault="00370E46" w:rsidP="00370E46">
      <w:pPr>
        <w:spacing w:after="200" w:line="276" w:lineRule="auto"/>
        <w:contextualSpacing/>
        <w:jc w:val="both"/>
        <w:rPr>
          <w:rFonts w:eastAsia="Calibri"/>
          <w:sz w:val="24"/>
          <w:szCs w:val="24"/>
          <w:lang w:val="pt-BR"/>
        </w:rPr>
      </w:pPr>
      <w:bookmarkStart w:id="0" w:name="_Hlk114227741"/>
      <w:r w:rsidRPr="00370E46">
        <w:rPr>
          <w:rFonts w:eastAsia="Calibri"/>
          <w:sz w:val="24"/>
          <w:szCs w:val="24"/>
          <w:lang w:val="pt-BR"/>
        </w:rPr>
        <w:t>Autoritatea contractanta utilizează factori de evaluare care sunt în legătură directa cu obiectul contractului ale cărui ponderi sunt stabilite în mod obiectiv, astfel încât să nu conducă la distorsionarea rezultatului aplicării procedurii pentru atribuirea contractului, după cum urmeaza:</w:t>
      </w:r>
    </w:p>
    <w:p w:rsidR="00370E46" w:rsidRPr="00370E46" w:rsidRDefault="00370E46" w:rsidP="00370E46">
      <w:pPr>
        <w:pStyle w:val="ListParagraph"/>
        <w:spacing w:line="276" w:lineRule="auto"/>
        <w:ind w:left="0"/>
        <w:rPr>
          <w:b/>
          <w:sz w:val="24"/>
          <w:szCs w:val="24"/>
          <w:lang w:val="pt-BR"/>
        </w:rPr>
      </w:pPr>
      <w:r w:rsidRPr="00370E46">
        <w:rPr>
          <w:b/>
          <w:sz w:val="24"/>
          <w:szCs w:val="24"/>
          <w:lang w:val="pt-BR"/>
        </w:rPr>
        <w:t>Factorii de evaluare stabiliți sunt următorii:</w:t>
      </w:r>
    </w:p>
    <w:tbl>
      <w:tblPr>
        <w:tblStyle w:val="TableGrid"/>
        <w:tblW w:w="0" w:type="auto"/>
        <w:tblLook w:val="04A0"/>
      </w:tblPr>
      <w:tblGrid>
        <w:gridCol w:w="3092"/>
        <w:gridCol w:w="3097"/>
        <w:gridCol w:w="3053"/>
      </w:tblGrid>
      <w:tr w:rsidR="009E69D9" w:rsidRPr="00621159" w:rsidTr="00834CFA">
        <w:tc>
          <w:tcPr>
            <w:tcW w:w="3356" w:type="dxa"/>
          </w:tcPr>
          <w:p w:rsidR="009E69D9" w:rsidRPr="00621159" w:rsidRDefault="009E69D9" w:rsidP="00834CFA">
            <w:pPr>
              <w:spacing w:after="200" w:line="276" w:lineRule="auto"/>
              <w:ind w:right="-270"/>
              <w:contextualSpacing/>
              <w:jc w:val="both"/>
              <w:rPr>
                <w:rFonts w:eastAsia="Calibri"/>
                <w:b/>
                <w:lang w:val="pt-BR"/>
              </w:rPr>
            </w:pPr>
            <w:r w:rsidRPr="00621159">
              <w:rPr>
                <w:rFonts w:eastAsia="Calibri"/>
                <w:b/>
                <w:lang w:val="pt-BR"/>
              </w:rPr>
              <w:t xml:space="preserve">Denumire factor evaluare </w:t>
            </w:r>
          </w:p>
          <w:p w:rsidR="009E69D9" w:rsidRPr="00621159" w:rsidRDefault="009E69D9" w:rsidP="00834CFA">
            <w:pPr>
              <w:spacing w:after="200" w:line="276" w:lineRule="auto"/>
              <w:ind w:right="-270"/>
              <w:contextualSpacing/>
              <w:jc w:val="both"/>
              <w:rPr>
                <w:rFonts w:eastAsia="Calibri"/>
                <w:b/>
                <w:lang w:val="pt-BR"/>
              </w:rPr>
            </w:pPr>
          </w:p>
        </w:tc>
        <w:tc>
          <w:tcPr>
            <w:tcW w:w="3357" w:type="dxa"/>
          </w:tcPr>
          <w:p w:rsidR="009E69D9" w:rsidRPr="00621159" w:rsidRDefault="009E69D9" w:rsidP="00834CFA">
            <w:pPr>
              <w:spacing w:after="200" w:line="276" w:lineRule="auto"/>
              <w:ind w:right="-270"/>
              <w:contextualSpacing/>
              <w:jc w:val="both"/>
              <w:rPr>
                <w:rFonts w:eastAsia="Calibri"/>
                <w:b/>
                <w:lang w:val="pt-BR"/>
              </w:rPr>
            </w:pPr>
            <w:r w:rsidRPr="00621159">
              <w:rPr>
                <w:rFonts w:eastAsia="Calibri"/>
                <w:b/>
                <w:lang w:val="pt-BR"/>
              </w:rPr>
              <w:t xml:space="preserve">Descriere </w:t>
            </w:r>
          </w:p>
        </w:tc>
        <w:tc>
          <w:tcPr>
            <w:tcW w:w="3357" w:type="dxa"/>
          </w:tcPr>
          <w:p w:rsidR="009E69D9" w:rsidRPr="00621159" w:rsidRDefault="009E69D9" w:rsidP="00834CFA">
            <w:pPr>
              <w:spacing w:after="200" w:line="276" w:lineRule="auto"/>
              <w:ind w:right="-270"/>
              <w:contextualSpacing/>
              <w:jc w:val="both"/>
              <w:rPr>
                <w:rFonts w:eastAsia="Calibri"/>
                <w:b/>
                <w:lang w:val="pt-BR"/>
              </w:rPr>
            </w:pPr>
            <w:r w:rsidRPr="00621159">
              <w:rPr>
                <w:rFonts w:eastAsia="Calibri"/>
                <w:b/>
                <w:lang w:val="pt-BR"/>
              </w:rPr>
              <w:t>Pondere</w:t>
            </w:r>
          </w:p>
        </w:tc>
      </w:tr>
      <w:tr w:rsidR="009E69D9" w:rsidRPr="00621159" w:rsidTr="00834CFA">
        <w:tc>
          <w:tcPr>
            <w:tcW w:w="3356" w:type="dxa"/>
          </w:tcPr>
          <w:p w:rsidR="009E69D9" w:rsidRPr="00621159" w:rsidRDefault="009E69D9" w:rsidP="00834CFA">
            <w:pPr>
              <w:spacing w:after="200" w:line="276" w:lineRule="auto"/>
              <w:ind w:right="-270"/>
              <w:contextualSpacing/>
              <w:jc w:val="both"/>
              <w:rPr>
                <w:rFonts w:eastAsia="Calibri"/>
                <w:b/>
                <w:lang w:val="pt-BR"/>
              </w:rPr>
            </w:pPr>
            <w:r w:rsidRPr="00621159">
              <w:rPr>
                <w:rFonts w:eastAsia="Calibri"/>
                <w:b/>
              </w:rPr>
              <w:t>Pretul ofertei</w:t>
            </w:r>
          </w:p>
        </w:tc>
        <w:tc>
          <w:tcPr>
            <w:tcW w:w="3357" w:type="dxa"/>
          </w:tcPr>
          <w:p w:rsidR="009E69D9" w:rsidRPr="00621159" w:rsidRDefault="009E69D9" w:rsidP="00834CFA">
            <w:pPr>
              <w:spacing w:after="200" w:line="276" w:lineRule="auto"/>
              <w:ind w:right="-270"/>
              <w:contextualSpacing/>
              <w:jc w:val="both"/>
              <w:rPr>
                <w:rFonts w:eastAsia="Calibri"/>
                <w:b/>
                <w:lang w:val="pt-BR"/>
              </w:rPr>
            </w:pPr>
            <w:r w:rsidRPr="00621159">
              <w:rPr>
                <w:rFonts w:eastAsia="Calibri"/>
                <w:b/>
              </w:rPr>
              <w:t>Componenta financiara</w:t>
            </w:r>
          </w:p>
        </w:tc>
        <w:tc>
          <w:tcPr>
            <w:tcW w:w="3357" w:type="dxa"/>
          </w:tcPr>
          <w:p w:rsidR="009E69D9" w:rsidRPr="00621159" w:rsidRDefault="009E69D9" w:rsidP="00834CFA">
            <w:pPr>
              <w:spacing w:after="200" w:line="276" w:lineRule="auto"/>
              <w:ind w:right="-270"/>
              <w:contextualSpacing/>
              <w:jc w:val="both"/>
              <w:rPr>
                <w:rFonts w:eastAsia="Calibri"/>
                <w:b/>
              </w:rPr>
            </w:pPr>
            <w:r>
              <w:rPr>
                <w:rFonts w:eastAsia="Calibri"/>
                <w:b/>
              </w:rPr>
              <w:t>65</w:t>
            </w:r>
            <w:r w:rsidRPr="00621159">
              <w:rPr>
                <w:rFonts w:eastAsia="Calibri"/>
                <w:b/>
              </w:rPr>
              <w:t>%</w:t>
            </w:r>
          </w:p>
          <w:p w:rsidR="009E69D9" w:rsidRPr="00621159" w:rsidRDefault="009E69D9" w:rsidP="00834CFA">
            <w:pPr>
              <w:spacing w:after="200" w:line="276" w:lineRule="auto"/>
              <w:ind w:right="-270"/>
              <w:contextualSpacing/>
              <w:jc w:val="both"/>
              <w:rPr>
                <w:rFonts w:eastAsia="Calibri"/>
                <w:b/>
                <w:lang w:val="pt-BR"/>
              </w:rPr>
            </w:pPr>
            <w:r w:rsidRPr="00621159">
              <w:rPr>
                <w:rFonts w:eastAsia="Calibri"/>
                <w:b/>
              </w:rPr>
              <w:t>Punctaj maxim factor: 6</w:t>
            </w:r>
            <w:r>
              <w:rPr>
                <w:rFonts w:eastAsia="Calibri"/>
                <w:b/>
              </w:rPr>
              <w:t>5</w:t>
            </w:r>
          </w:p>
        </w:tc>
      </w:tr>
      <w:tr w:rsidR="009E69D9" w:rsidRPr="00621159" w:rsidTr="00834CFA">
        <w:tc>
          <w:tcPr>
            <w:tcW w:w="10070" w:type="dxa"/>
            <w:gridSpan w:val="3"/>
          </w:tcPr>
          <w:p w:rsidR="009E69D9" w:rsidRPr="00621159" w:rsidRDefault="009E69D9" w:rsidP="00834CFA">
            <w:pPr>
              <w:pStyle w:val="Default"/>
              <w:rPr>
                <w:rFonts w:ascii="Times New Roman" w:eastAsiaTheme="minorHAnsi" w:hAnsi="Times New Roman" w:cs="Times New Roman"/>
                <w:lang w:val="en-GB"/>
              </w:rPr>
            </w:pPr>
            <w:r w:rsidRPr="00621159">
              <w:rPr>
                <w:rFonts w:ascii="Times New Roman" w:hAnsi="Times New Roman" w:cs="Times New Roman"/>
                <w:lang w:val="pt-BR"/>
              </w:rPr>
              <w:t xml:space="preserve">Algoritm de calcul: </w:t>
            </w:r>
          </w:p>
          <w:p w:rsidR="009E69D9" w:rsidRPr="00ED34B5" w:rsidRDefault="009E69D9" w:rsidP="00834CFA">
            <w:pPr>
              <w:autoSpaceDE w:val="0"/>
              <w:autoSpaceDN w:val="0"/>
              <w:adjustRightInd w:val="0"/>
              <w:rPr>
                <w:color w:val="000000"/>
                <w:lang w:val="en-GB"/>
              </w:rPr>
            </w:pPr>
            <w:r w:rsidRPr="00ED34B5">
              <w:rPr>
                <w:color w:val="000000"/>
                <w:lang w:val="en-GB"/>
              </w:rPr>
              <w:t xml:space="preserve"> Pentru acest factor de evaluare se va acorda punctajul P1 – invers proportional </w:t>
            </w:r>
          </w:p>
          <w:p w:rsidR="009E69D9" w:rsidRPr="00ED34B5" w:rsidRDefault="009E69D9" w:rsidP="00834CFA">
            <w:pPr>
              <w:autoSpaceDE w:val="0"/>
              <w:autoSpaceDN w:val="0"/>
              <w:adjustRightInd w:val="0"/>
              <w:rPr>
                <w:color w:val="000000"/>
                <w:lang w:val="en-GB"/>
              </w:rPr>
            </w:pPr>
            <w:r w:rsidRPr="00ED34B5">
              <w:rPr>
                <w:color w:val="000000"/>
                <w:lang w:val="en-GB"/>
              </w:rPr>
              <w:t>Pretul ofertei – punctaj maxim 6</w:t>
            </w:r>
            <w:r>
              <w:rPr>
                <w:color w:val="000000"/>
                <w:lang w:val="en-GB"/>
              </w:rPr>
              <w:t>5</w:t>
            </w:r>
            <w:r w:rsidRPr="00ED34B5">
              <w:rPr>
                <w:color w:val="000000"/>
                <w:lang w:val="en-GB"/>
              </w:rPr>
              <w:t xml:space="preserve"> puncte </w:t>
            </w:r>
          </w:p>
          <w:p w:rsidR="009E69D9" w:rsidRPr="00ED34B5" w:rsidRDefault="009E69D9" w:rsidP="00834CFA">
            <w:pPr>
              <w:autoSpaceDE w:val="0"/>
              <w:autoSpaceDN w:val="0"/>
              <w:adjustRightInd w:val="0"/>
              <w:rPr>
                <w:color w:val="000000"/>
                <w:lang w:val="en-GB"/>
              </w:rPr>
            </w:pPr>
            <w:r w:rsidRPr="00ED34B5">
              <w:rPr>
                <w:color w:val="000000"/>
                <w:lang w:val="en-GB"/>
              </w:rPr>
              <w:t xml:space="preserve">Descriere criteriu: Componenta financiara a ofertei </w:t>
            </w:r>
          </w:p>
          <w:p w:rsidR="009E69D9" w:rsidRPr="00ED34B5" w:rsidRDefault="009E69D9" w:rsidP="00834CFA">
            <w:pPr>
              <w:autoSpaceDE w:val="0"/>
              <w:autoSpaceDN w:val="0"/>
              <w:adjustRightInd w:val="0"/>
              <w:rPr>
                <w:color w:val="000000"/>
                <w:lang w:val="en-GB"/>
              </w:rPr>
            </w:pPr>
            <w:r w:rsidRPr="00ED34B5">
              <w:rPr>
                <w:color w:val="000000"/>
                <w:lang w:val="en-GB"/>
              </w:rPr>
              <w:t xml:space="preserve">Algoritmul de calcul: </w:t>
            </w:r>
          </w:p>
          <w:p w:rsidR="009E69D9" w:rsidRPr="00ED34B5" w:rsidRDefault="009E69D9" w:rsidP="009E69D9">
            <w:pPr>
              <w:numPr>
                <w:ilvl w:val="0"/>
                <w:numId w:val="6"/>
              </w:numPr>
              <w:autoSpaceDE w:val="0"/>
              <w:autoSpaceDN w:val="0"/>
              <w:adjustRightInd w:val="0"/>
              <w:spacing w:after="68"/>
              <w:rPr>
                <w:color w:val="000000"/>
                <w:lang w:val="en-GB"/>
              </w:rPr>
            </w:pPr>
            <w:r w:rsidRPr="00ED34B5">
              <w:rPr>
                <w:color w:val="000000"/>
                <w:lang w:val="en-GB"/>
              </w:rPr>
              <w:t>pentru oferta cu pretul cel mai mic se va acorda punctajul maxim alocat acestui factor de evaluare, respectiv 6</w:t>
            </w:r>
            <w:r>
              <w:rPr>
                <w:color w:val="000000"/>
                <w:lang w:val="en-GB"/>
              </w:rPr>
              <w:t>5</w:t>
            </w:r>
            <w:r w:rsidRPr="00ED34B5">
              <w:rPr>
                <w:color w:val="000000"/>
                <w:lang w:val="en-GB"/>
              </w:rPr>
              <w:t xml:space="preserve"> puncte </w:t>
            </w:r>
          </w:p>
          <w:p w:rsidR="009E69D9" w:rsidRPr="00ED34B5" w:rsidRDefault="009E69D9" w:rsidP="009E69D9">
            <w:pPr>
              <w:numPr>
                <w:ilvl w:val="0"/>
                <w:numId w:val="6"/>
              </w:numPr>
              <w:autoSpaceDE w:val="0"/>
              <w:autoSpaceDN w:val="0"/>
              <w:adjustRightInd w:val="0"/>
              <w:rPr>
                <w:color w:val="000000"/>
                <w:lang w:val="en-GB"/>
              </w:rPr>
            </w:pPr>
            <w:r w:rsidRPr="00ED34B5">
              <w:rPr>
                <w:color w:val="000000"/>
                <w:lang w:val="en-GB"/>
              </w:rPr>
              <w:t xml:space="preserve">pentru alt pret decat cel prezentat la litera a), punctajul se va acorda dupa cum urmeaza: </w:t>
            </w:r>
          </w:p>
          <w:p w:rsidR="009E69D9" w:rsidRPr="00ED34B5" w:rsidRDefault="009E69D9" w:rsidP="00834CFA">
            <w:pPr>
              <w:autoSpaceDE w:val="0"/>
              <w:autoSpaceDN w:val="0"/>
              <w:adjustRightInd w:val="0"/>
              <w:rPr>
                <w:color w:val="000000"/>
                <w:lang w:val="en-GB"/>
              </w:rPr>
            </w:pPr>
          </w:p>
          <w:p w:rsidR="009E69D9" w:rsidRPr="00ED34B5" w:rsidRDefault="00B9330D" w:rsidP="00834CFA">
            <w:pPr>
              <w:autoSpaceDE w:val="0"/>
              <w:autoSpaceDN w:val="0"/>
              <w:adjustRightInd w:val="0"/>
              <w:rPr>
                <w:color w:val="000000"/>
                <w:lang w:val="en-GB"/>
              </w:rPr>
            </w:pPr>
            <w:r>
              <w:rPr>
                <w:color w:val="000000"/>
                <w:lang w:val="en-GB"/>
              </w:rPr>
              <w:t>P1 (n) = (Vmin / Vn) x 65</w:t>
            </w:r>
            <w:r w:rsidR="009E69D9" w:rsidRPr="00ED34B5">
              <w:rPr>
                <w:color w:val="000000"/>
                <w:lang w:val="en-GB"/>
              </w:rPr>
              <w:t xml:space="preserve"> </w:t>
            </w:r>
          </w:p>
          <w:p w:rsidR="009E69D9" w:rsidRPr="00ED34B5" w:rsidRDefault="009E69D9" w:rsidP="00834CFA">
            <w:pPr>
              <w:autoSpaceDE w:val="0"/>
              <w:autoSpaceDN w:val="0"/>
              <w:adjustRightInd w:val="0"/>
              <w:rPr>
                <w:color w:val="000000"/>
                <w:lang w:val="en-GB"/>
              </w:rPr>
            </w:pPr>
            <w:r w:rsidRPr="00ED34B5">
              <w:rPr>
                <w:color w:val="000000"/>
                <w:lang w:val="en-GB"/>
              </w:rPr>
              <w:t xml:space="preserve">unde: </w:t>
            </w:r>
          </w:p>
          <w:p w:rsidR="009E69D9" w:rsidRPr="00ED34B5" w:rsidRDefault="009E69D9" w:rsidP="00834CFA">
            <w:pPr>
              <w:autoSpaceDE w:val="0"/>
              <w:autoSpaceDN w:val="0"/>
              <w:adjustRightInd w:val="0"/>
              <w:rPr>
                <w:color w:val="000000"/>
                <w:lang w:val="en-GB"/>
              </w:rPr>
            </w:pPr>
            <w:r w:rsidRPr="00ED34B5">
              <w:rPr>
                <w:color w:val="000000"/>
                <w:lang w:val="en-GB"/>
              </w:rPr>
              <w:t xml:space="preserve">P1(n) – punctajul ofertei n pentru factorul de evaluare pretul ofertei </w:t>
            </w:r>
          </w:p>
          <w:p w:rsidR="009E69D9" w:rsidRPr="00ED34B5" w:rsidRDefault="009E69D9" w:rsidP="00834CFA">
            <w:pPr>
              <w:autoSpaceDE w:val="0"/>
              <w:autoSpaceDN w:val="0"/>
              <w:adjustRightInd w:val="0"/>
              <w:rPr>
                <w:color w:val="000000"/>
                <w:lang w:val="en-GB"/>
              </w:rPr>
            </w:pPr>
            <w:r w:rsidRPr="00ED34B5">
              <w:rPr>
                <w:color w:val="000000"/>
                <w:lang w:val="en-GB"/>
              </w:rPr>
              <w:t xml:space="preserve">Vmin – valoarea in lei fara TVA a ofertei cu pretul cel mai mic </w:t>
            </w:r>
          </w:p>
          <w:p w:rsidR="009E69D9" w:rsidRPr="00621159" w:rsidRDefault="009E69D9" w:rsidP="00834CFA">
            <w:pPr>
              <w:spacing w:after="200" w:line="276" w:lineRule="auto"/>
              <w:ind w:right="-270"/>
              <w:contextualSpacing/>
              <w:jc w:val="both"/>
              <w:rPr>
                <w:rFonts w:eastAsia="Calibri"/>
                <w:b/>
              </w:rPr>
            </w:pPr>
            <w:r w:rsidRPr="00621159">
              <w:rPr>
                <w:color w:val="000000"/>
                <w:lang w:val="en-GB"/>
              </w:rPr>
              <w:t>Vn – valoarea in lei fara TVA a ofertei n</w:t>
            </w:r>
          </w:p>
        </w:tc>
      </w:tr>
      <w:tr w:rsidR="009E69D9" w:rsidRPr="00621159" w:rsidTr="00834CFA">
        <w:tc>
          <w:tcPr>
            <w:tcW w:w="3356" w:type="dxa"/>
          </w:tcPr>
          <w:p w:rsidR="00AC1F1A" w:rsidRDefault="009E69D9" w:rsidP="00834CFA">
            <w:pPr>
              <w:spacing w:after="200" w:line="276" w:lineRule="auto"/>
              <w:ind w:right="-270"/>
              <w:contextualSpacing/>
              <w:rPr>
                <w:rFonts w:eastAsia="Calibri"/>
                <w:b/>
              </w:rPr>
            </w:pPr>
            <w:r w:rsidRPr="00621159">
              <w:rPr>
                <w:rFonts w:eastAsia="Calibri"/>
                <w:b/>
              </w:rPr>
              <w:t>Experiență profesională Manager</w:t>
            </w:r>
          </w:p>
          <w:p w:rsidR="009E69D9" w:rsidRPr="00621159" w:rsidRDefault="009E69D9" w:rsidP="00834CFA">
            <w:pPr>
              <w:spacing w:after="200" w:line="276" w:lineRule="auto"/>
              <w:ind w:right="-270"/>
              <w:contextualSpacing/>
              <w:rPr>
                <w:rFonts w:eastAsia="Calibri"/>
                <w:b/>
              </w:rPr>
            </w:pPr>
            <w:r w:rsidRPr="00621159">
              <w:rPr>
                <w:rFonts w:eastAsia="Calibri"/>
                <w:b/>
              </w:rPr>
              <w:t xml:space="preserve"> de Proiect</w:t>
            </w:r>
          </w:p>
        </w:tc>
        <w:tc>
          <w:tcPr>
            <w:tcW w:w="3357" w:type="dxa"/>
          </w:tcPr>
          <w:p w:rsidR="009E69D9" w:rsidRPr="00621159" w:rsidRDefault="009E69D9" w:rsidP="00834CFA">
            <w:pPr>
              <w:spacing w:after="200" w:line="276" w:lineRule="auto"/>
              <w:ind w:right="-270"/>
              <w:contextualSpacing/>
              <w:jc w:val="both"/>
              <w:rPr>
                <w:rFonts w:eastAsia="Calibri"/>
                <w:b/>
                <w:lang w:val="pt-BR"/>
              </w:rPr>
            </w:pPr>
            <w:r w:rsidRPr="00621159">
              <w:rPr>
                <w:rFonts w:eastAsia="Calibri"/>
                <w:b/>
              </w:rPr>
              <w:t>Componentă tehnică</w:t>
            </w:r>
          </w:p>
        </w:tc>
        <w:tc>
          <w:tcPr>
            <w:tcW w:w="3357" w:type="dxa"/>
          </w:tcPr>
          <w:p w:rsidR="009E69D9" w:rsidRPr="00621159" w:rsidRDefault="009E69D9" w:rsidP="00834CFA">
            <w:pPr>
              <w:spacing w:after="200" w:line="276" w:lineRule="auto"/>
              <w:ind w:right="-270"/>
              <w:contextualSpacing/>
              <w:rPr>
                <w:rFonts w:eastAsia="Calibri"/>
                <w:b/>
              </w:rPr>
            </w:pPr>
            <w:r>
              <w:rPr>
                <w:rFonts w:eastAsia="Calibri"/>
                <w:b/>
              </w:rPr>
              <w:t>10</w:t>
            </w:r>
            <w:r w:rsidRPr="00621159">
              <w:rPr>
                <w:rFonts w:eastAsia="Calibri"/>
                <w:b/>
              </w:rPr>
              <w:t>%</w:t>
            </w:r>
          </w:p>
          <w:p w:rsidR="009E69D9" w:rsidRPr="00621159" w:rsidRDefault="009E69D9" w:rsidP="00834CFA">
            <w:pPr>
              <w:spacing w:after="200" w:line="276" w:lineRule="auto"/>
              <w:ind w:right="-270"/>
              <w:contextualSpacing/>
              <w:rPr>
                <w:rFonts w:eastAsia="Calibri"/>
                <w:b/>
                <w:lang w:val="pt-BR"/>
              </w:rPr>
            </w:pPr>
            <w:r w:rsidRPr="00621159">
              <w:rPr>
                <w:rFonts w:eastAsia="Calibri"/>
                <w:b/>
              </w:rPr>
              <w:t xml:space="preserve">Punctaj maxim factor: </w:t>
            </w:r>
            <w:r>
              <w:rPr>
                <w:rFonts w:eastAsia="Calibri"/>
                <w:b/>
              </w:rPr>
              <w:t>10</w:t>
            </w:r>
          </w:p>
        </w:tc>
      </w:tr>
      <w:tr w:rsidR="009E69D9" w:rsidRPr="00621159" w:rsidTr="00834CFA">
        <w:tc>
          <w:tcPr>
            <w:tcW w:w="10070" w:type="dxa"/>
            <w:gridSpan w:val="3"/>
          </w:tcPr>
          <w:p w:rsidR="009E69D9" w:rsidRPr="00621159" w:rsidRDefault="009E69D9" w:rsidP="00834CFA">
            <w:pPr>
              <w:spacing w:after="200" w:line="276" w:lineRule="auto"/>
              <w:contextualSpacing/>
              <w:jc w:val="both"/>
              <w:rPr>
                <w:rFonts w:eastAsia="Calibri"/>
                <w:bCs/>
                <w:lang w:val="pt-BR"/>
              </w:rPr>
            </w:pPr>
            <w:r w:rsidRPr="00621159">
              <w:rPr>
                <w:rFonts w:eastAsia="Calibri"/>
                <w:bCs/>
                <w:lang w:val="pt-BR"/>
              </w:rPr>
              <w:t xml:space="preserve">Algoritm de calcul: </w:t>
            </w:r>
          </w:p>
          <w:p w:rsidR="009E69D9" w:rsidRPr="00621159" w:rsidRDefault="009E69D9" w:rsidP="00834CFA">
            <w:pPr>
              <w:spacing w:after="200" w:line="276" w:lineRule="auto"/>
              <w:contextualSpacing/>
              <w:jc w:val="both"/>
              <w:rPr>
                <w:rFonts w:eastAsia="Calibri"/>
                <w:bCs/>
                <w:lang w:val="pt-BR"/>
              </w:rPr>
            </w:pPr>
            <w:r w:rsidRPr="00621159">
              <w:rPr>
                <w:rFonts w:eastAsia="Calibri"/>
                <w:bCs/>
                <w:lang w:val="pt-BR"/>
              </w:rPr>
              <w:t>Absolvent de studii superioare finalizate prin diplomă de licență în domeniul construcțiilor sau echivalent și cursuri de management de proiect.</w:t>
            </w:r>
          </w:p>
          <w:p w:rsidR="009E69D9" w:rsidRPr="00621159" w:rsidRDefault="009E69D9" w:rsidP="00834CFA">
            <w:pPr>
              <w:spacing w:line="276" w:lineRule="auto"/>
              <w:jc w:val="both"/>
              <w:rPr>
                <w:rStyle w:val="Strong"/>
                <w:rFonts w:eastAsia="MS Mincho"/>
                <w:b w:val="0"/>
                <w:bCs w:val="0"/>
              </w:rPr>
            </w:pPr>
            <w:r w:rsidRPr="00621159">
              <w:rPr>
                <w:rFonts w:eastAsia="MS Mincho"/>
                <w:b/>
                <w:bCs/>
                <w:lang w:val="pt-BR"/>
              </w:rPr>
              <w:t xml:space="preserve">Experienţă specifică: </w:t>
            </w:r>
            <w:r w:rsidRPr="00621159">
              <w:rPr>
                <w:rFonts w:eastAsia="MS Mincho"/>
              </w:rPr>
              <w:t xml:space="preserve">implicarea ca Manager de proiect, în cel puțin 1 contract/proiect aferent construirii și/sau extinderii și/sau reabilitării (reparații capitale sau reabilitare termică) și/sau modernizării unei construcții civile, cel puțin din categoria de importanță C sau superioare, conform HG nr. 776/1997, cu modificările și completările ulterioare, </w:t>
            </w:r>
            <w:r w:rsidRPr="00621159">
              <w:rPr>
                <w:rFonts w:eastAsia="MS Mincho"/>
                <w:lang w:val="en-GB"/>
              </w:rPr>
              <w:t>care sa fi inclus componente de energie din surse regenerabile (definitie Energie din surse regenerabile: energie din surse regenerabile nefosile, precum energia eoliană, solară (termală și fotovoltaică), aerotermală, geotermală, hidrotermală, căldura ambientală, energia mareelor, a valurilor și alte tipuri de energie a oceanelor, energie hidroelectrică, biomasă, gaz de depozit, gaz provenit din instalațiile de epurare a apelor uzate și biogaz).</w:t>
            </w:r>
            <w:r w:rsidRPr="00621159">
              <w:rPr>
                <w:rStyle w:val="Strong"/>
                <w:rFonts w:eastAsia="MS Mincho"/>
              </w:rPr>
              <w:t xml:space="preserve">  </w:t>
            </w:r>
          </w:p>
          <w:p w:rsidR="009E69D9" w:rsidRPr="00621159" w:rsidRDefault="009E69D9" w:rsidP="00834CFA">
            <w:pPr>
              <w:spacing w:after="200" w:line="276" w:lineRule="auto"/>
              <w:contextualSpacing/>
              <w:jc w:val="both"/>
              <w:rPr>
                <w:rFonts w:eastAsia="Calibri"/>
                <w:bCs/>
                <w:lang w:val="pt-BR"/>
              </w:rPr>
            </w:pPr>
            <w:r w:rsidRPr="00621159">
              <w:rPr>
                <w:rFonts w:eastAsia="Calibri"/>
                <w:bCs/>
                <w:lang w:val="pt-BR"/>
              </w:rPr>
              <w:t>• minim 1 (unu) contract = 0 puncte.</w:t>
            </w:r>
          </w:p>
          <w:p w:rsidR="009E69D9" w:rsidRPr="00621159" w:rsidRDefault="009E69D9" w:rsidP="00834CFA">
            <w:pPr>
              <w:spacing w:after="200" w:line="276" w:lineRule="auto"/>
              <w:contextualSpacing/>
              <w:jc w:val="both"/>
              <w:rPr>
                <w:rFonts w:eastAsia="Calibri"/>
                <w:bCs/>
                <w:lang w:val="pt-BR"/>
              </w:rPr>
            </w:pPr>
            <w:r w:rsidRPr="00621159">
              <w:rPr>
                <w:rFonts w:eastAsia="Calibri"/>
                <w:bCs/>
                <w:lang w:val="pt-BR"/>
              </w:rPr>
              <w:t>• 2 (două) contracte =</w:t>
            </w:r>
            <w:r>
              <w:rPr>
                <w:rFonts w:eastAsia="Calibri"/>
                <w:bCs/>
                <w:lang w:val="pt-BR"/>
              </w:rPr>
              <w:t>5</w:t>
            </w:r>
            <w:r w:rsidRPr="00621159">
              <w:rPr>
                <w:rFonts w:eastAsia="Calibri"/>
                <w:bCs/>
                <w:lang w:val="pt-BR"/>
              </w:rPr>
              <w:t xml:space="preserve"> puncte</w:t>
            </w:r>
          </w:p>
          <w:p w:rsidR="009E69D9" w:rsidRPr="00621159" w:rsidRDefault="009E69D9" w:rsidP="00834CFA">
            <w:pPr>
              <w:spacing w:after="200" w:line="276" w:lineRule="auto"/>
              <w:contextualSpacing/>
              <w:jc w:val="both"/>
              <w:rPr>
                <w:rFonts w:eastAsia="Calibri"/>
                <w:bCs/>
                <w:lang w:val="pt-BR"/>
              </w:rPr>
            </w:pPr>
            <w:r w:rsidRPr="00621159">
              <w:rPr>
                <w:rFonts w:eastAsia="Calibri"/>
                <w:bCs/>
                <w:lang w:val="pt-BR"/>
              </w:rPr>
              <w:t>• 3 (trei) contracte =</w:t>
            </w:r>
            <w:r>
              <w:rPr>
                <w:rFonts w:eastAsia="Calibri"/>
                <w:bCs/>
                <w:lang w:val="pt-BR"/>
              </w:rPr>
              <w:t>10</w:t>
            </w:r>
            <w:r w:rsidRPr="00621159">
              <w:rPr>
                <w:rFonts w:eastAsia="Calibri"/>
                <w:bCs/>
                <w:lang w:val="pt-BR"/>
              </w:rPr>
              <w:t xml:space="preserve"> puncte</w:t>
            </w:r>
          </w:p>
          <w:p w:rsidR="009E69D9" w:rsidRPr="00621159" w:rsidRDefault="009E69D9" w:rsidP="00834CFA">
            <w:pPr>
              <w:spacing w:after="200" w:line="276" w:lineRule="auto"/>
              <w:contextualSpacing/>
              <w:jc w:val="both"/>
              <w:rPr>
                <w:rFonts w:eastAsia="Calibri"/>
                <w:bCs/>
                <w:lang w:val="pt-BR"/>
              </w:rPr>
            </w:pPr>
            <w:r w:rsidRPr="00621159">
              <w:rPr>
                <w:rFonts w:eastAsia="Calibri"/>
                <w:bCs/>
                <w:lang w:val="pt-BR"/>
              </w:rPr>
              <w:t>• mai mult de 3 (trei) contracte =</w:t>
            </w:r>
            <w:r>
              <w:rPr>
                <w:rFonts w:eastAsia="Calibri"/>
                <w:bCs/>
                <w:lang w:val="pt-BR"/>
              </w:rPr>
              <w:t>10</w:t>
            </w:r>
            <w:r w:rsidRPr="00621159">
              <w:rPr>
                <w:rFonts w:eastAsia="Calibri"/>
                <w:bCs/>
                <w:lang w:val="pt-BR"/>
              </w:rPr>
              <w:t xml:space="preserve"> puncte</w:t>
            </w:r>
          </w:p>
          <w:p w:rsidR="009E69D9" w:rsidRPr="00621159" w:rsidRDefault="009E69D9" w:rsidP="00834CFA">
            <w:pPr>
              <w:rPr>
                <w:iCs/>
                <w:lang w:val="en-GB" w:eastAsia="ro-RO"/>
              </w:rPr>
            </w:pPr>
            <w:r w:rsidRPr="00621159">
              <w:rPr>
                <w:iCs/>
                <w:lang w:val="en-GB" w:eastAsia="ro-RO"/>
              </w:rPr>
              <w:t xml:space="preserve">Pentru expertul indicat în cadrul ofertei, în scopul acordării punctajului aferent factorului de evaluare, se vor prezenta documente-suport relevante care atestă experiența specifică, cu titlu exemplificativ: fișa de post, contractul de muncă, recomandarea sau orice alte documente emise sau contrasemnate de beneficiarul contractului. Documentele suport prezentate trebuie sa indeplineasca urmatoarele conditii: </w:t>
            </w:r>
          </w:p>
          <w:p w:rsidR="009E69D9" w:rsidRPr="00621159" w:rsidRDefault="009E69D9" w:rsidP="00834CFA">
            <w:pPr>
              <w:rPr>
                <w:iCs/>
                <w:lang w:val="en-GB" w:eastAsia="ro-RO"/>
              </w:rPr>
            </w:pPr>
            <w:r w:rsidRPr="00621159">
              <w:rPr>
                <w:iCs/>
                <w:lang w:val="en-GB" w:eastAsia="ro-RO"/>
              </w:rPr>
              <w:t xml:space="preserve">1. Sa fie emis sau contrasemnat de beneficiar, </w:t>
            </w:r>
          </w:p>
          <w:p w:rsidR="009E69D9" w:rsidRPr="00621159" w:rsidRDefault="009E69D9" w:rsidP="00834CFA">
            <w:pPr>
              <w:rPr>
                <w:iCs/>
                <w:lang w:val="en-GB" w:eastAsia="ro-RO"/>
              </w:rPr>
            </w:pPr>
            <w:r w:rsidRPr="00621159">
              <w:rPr>
                <w:iCs/>
                <w:lang w:val="en-GB" w:eastAsia="ro-RO"/>
              </w:rPr>
              <w:t xml:space="preserve">2. Din el sa reiasa numele persoanei nominalizate si specializarea pe care o detine, </w:t>
            </w:r>
          </w:p>
          <w:p w:rsidR="009E69D9" w:rsidRPr="00621159" w:rsidRDefault="009E69D9" w:rsidP="00834CFA">
            <w:pPr>
              <w:spacing w:after="200" w:line="276" w:lineRule="auto"/>
              <w:contextualSpacing/>
              <w:jc w:val="both"/>
              <w:rPr>
                <w:rFonts w:eastAsia="Calibri"/>
                <w:bCs/>
                <w:lang w:val="pt-BR"/>
              </w:rPr>
            </w:pPr>
            <w:r w:rsidRPr="00621159">
              <w:rPr>
                <w:iCs/>
                <w:lang w:val="en-GB" w:eastAsia="ro-RO"/>
              </w:rPr>
              <w:lastRenderedPageBreak/>
              <w:t>3. Din el sa reiasa tipurile de activitati indeplinite de persoana nominalizata, astfel incat sa se faca dovada ca aceasta a indeplinit in cadrul proiectelor mentionate acelasi tip de activitati ca cele pe care urmeaza sa le indeplineasca in viitorul contract.</w:t>
            </w:r>
          </w:p>
        </w:tc>
      </w:tr>
      <w:tr w:rsidR="009E69D9" w:rsidRPr="00621159" w:rsidTr="00834CFA">
        <w:tc>
          <w:tcPr>
            <w:tcW w:w="3356" w:type="dxa"/>
          </w:tcPr>
          <w:p w:rsidR="009E69D9" w:rsidRDefault="009E69D9" w:rsidP="00834CFA">
            <w:pPr>
              <w:spacing w:after="200" w:line="276" w:lineRule="auto"/>
              <w:ind w:right="-270"/>
              <w:contextualSpacing/>
              <w:rPr>
                <w:rFonts w:eastAsia="Calibri"/>
                <w:b/>
              </w:rPr>
            </w:pPr>
            <w:r w:rsidRPr="00621159">
              <w:rPr>
                <w:rFonts w:eastAsia="Calibri"/>
                <w:b/>
              </w:rPr>
              <w:lastRenderedPageBreak/>
              <w:t xml:space="preserve">Experiență profesională </w:t>
            </w:r>
          </w:p>
          <w:p w:rsidR="009E69D9" w:rsidRPr="00621159" w:rsidRDefault="009E69D9" w:rsidP="00834CFA">
            <w:pPr>
              <w:spacing w:after="200" w:line="276" w:lineRule="auto"/>
              <w:ind w:right="-270"/>
              <w:contextualSpacing/>
              <w:rPr>
                <w:rFonts w:eastAsia="Calibri"/>
                <w:b/>
              </w:rPr>
            </w:pPr>
            <w:r>
              <w:rPr>
                <w:rFonts w:eastAsia="Calibri"/>
                <w:b/>
              </w:rPr>
              <w:t>Sef santier</w:t>
            </w:r>
          </w:p>
        </w:tc>
        <w:tc>
          <w:tcPr>
            <w:tcW w:w="3357" w:type="dxa"/>
          </w:tcPr>
          <w:p w:rsidR="009E69D9" w:rsidRPr="00621159" w:rsidRDefault="009E69D9" w:rsidP="00834CFA">
            <w:pPr>
              <w:spacing w:after="200" w:line="276" w:lineRule="auto"/>
              <w:ind w:right="-270"/>
              <w:contextualSpacing/>
              <w:jc w:val="both"/>
              <w:rPr>
                <w:rFonts w:eastAsia="Calibri"/>
                <w:b/>
                <w:lang w:val="pt-BR"/>
              </w:rPr>
            </w:pPr>
            <w:r w:rsidRPr="00621159">
              <w:rPr>
                <w:rFonts w:eastAsia="Calibri"/>
                <w:b/>
              </w:rPr>
              <w:t>Componentă tehnică</w:t>
            </w:r>
          </w:p>
        </w:tc>
        <w:tc>
          <w:tcPr>
            <w:tcW w:w="3357" w:type="dxa"/>
          </w:tcPr>
          <w:p w:rsidR="009E69D9" w:rsidRPr="00621159" w:rsidRDefault="009E69D9" w:rsidP="00834CFA">
            <w:pPr>
              <w:spacing w:after="200" w:line="276" w:lineRule="auto"/>
              <w:ind w:right="-270"/>
              <w:contextualSpacing/>
              <w:rPr>
                <w:rFonts w:eastAsia="Calibri"/>
                <w:b/>
              </w:rPr>
            </w:pPr>
            <w:r>
              <w:rPr>
                <w:rFonts w:eastAsia="Calibri"/>
                <w:b/>
              </w:rPr>
              <w:t>10</w:t>
            </w:r>
            <w:r w:rsidRPr="00621159">
              <w:rPr>
                <w:rFonts w:eastAsia="Calibri"/>
                <w:b/>
              </w:rPr>
              <w:t>%</w:t>
            </w:r>
          </w:p>
          <w:p w:rsidR="009E69D9" w:rsidRPr="00621159" w:rsidRDefault="009E69D9" w:rsidP="00834CFA">
            <w:pPr>
              <w:spacing w:after="200" w:line="276" w:lineRule="auto"/>
              <w:ind w:right="-270"/>
              <w:contextualSpacing/>
              <w:rPr>
                <w:rFonts w:eastAsia="Calibri"/>
                <w:b/>
                <w:lang w:val="pt-BR"/>
              </w:rPr>
            </w:pPr>
            <w:r w:rsidRPr="00621159">
              <w:rPr>
                <w:rFonts w:eastAsia="Calibri"/>
                <w:b/>
              </w:rPr>
              <w:t xml:space="preserve">Punctaj maxim factor: </w:t>
            </w:r>
            <w:r>
              <w:rPr>
                <w:rFonts w:eastAsia="Calibri"/>
                <w:b/>
              </w:rPr>
              <w:t>10</w:t>
            </w:r>
          </w:p>
        </w:tc>
      </w:tr>
      <w:tr w:rsidR="009E69D9" w:rsidRPr="00621159" w:rsidTr="00834CFA">
        <w:tc>
          <w:tcPr>
            <w:tcW w:w="10070" w:type="dxa"/>
            <w:gridSpan w:val="3"/>
          </w:tcPr>
          <w:p w:rsidR="009E69D9" w:rsidRPr="00621159" w:rsidRDefault="009E69D9" w:rsidP="00834CFA">
            <w:pPr>
              <w:spacing w:after="200" w:line="276" w:lineRule="auto"/>
              <w:contextualSpacing/>
              <w:jc w:val="both"/>
              <w:rPr>
                <w:rFonts w:eastAsia="Calibri"/>
                <w:bCs/>
                <w:lang w:val="pt-BR"/>
              </w:rPr>
            </w:pPr>
            <w:r w:rsidRPr="00621159">
              <w:rPr>
                <w:rFonts w:eastAsia="Calibri"/>
                <w:bCs/>
                <w:lang w:val="pt-BR"/>
              </w:rPr>
              <w:t xml:space="preserve">Algoritm de calcul: </w:t>
            </w:r>
          </w:p>
          <w:p w:rsidR="009E69D9" w:rsidRPr="00A87713" w:rsidRDefault="009E69D9" w:rsidP="00834CFA">
            <w:pPr>
              <w:spacing w:line="276" w:lineRule="auto"/>
              <w:jc w:val="both"/>
              <w:rPr>
                <w:rFonts w:eastAsia="MS Mincho"/>
                <w:lang w:val="pt-BR"/>
              </w:rPr>
            </w:pPr>
            <w:r w:rsidRPr="00A87713">
              <w:rPr>
                <w:rStyle w:val="Strong"/>
              </w:rPr>
              <w:t xml:space="preserve">Autorizarea și exercitarea dreptului de practică: </w:t>
            </w:r>
            <w:r w:rsidRPr="00A87713">
              <w:rPr>
                <w:rFonts w:eastAsia="MS Mincho"/>
                <w:lang w:val="pt-BR"/>
              </w:rPr>
              <w:t>Inginer construcţii civile, industriale şi agricole, absolvent cu diplomă de licenţă sau echivalent;</w:t>
            </w:r>
          </w:p>
          <w:p w:rsidR="009E69D9" w:rsidRDefault="009E69D9" w:rsidP="00834CFA">
            <w:pPr>
              <w:spacing w:line="276" w:lineRule="auto"/>
              <w:jc w:val="both"/>
              <w:rPr>
                <w:rFonts w:eastAsia="MS Mincho"/>
              </w:rPr>
            </w:pPr>
            <w:r w:rsidRPr="00A87713">
              <w:rPr>
                <w:rFonts w:eastAsia="MS Mincho"/>
                <w:b/>
                <w:bCs/>
                <w:lang w:val="pt-BR"/>
              </w:rPr>
              <w:t>Experienţă specifică:</w:t>
            </w:r>
            <w:r w:rsidRPr="00A87713">
              <w:rPr>
                <w:rFonts w:eastAsia="MS Mincho"/>
                <w:lang w:val="pt-BR"/>
              </w:rPr>
              <w:t xml:space="preserve"> </w:t>
            </w:r>
            <w:r w:rsidRPr="00A87713">
              <w:rPr>
                <w:rFonts w:eastAsia="MS Mincho"/>
              </w:rPr>
              <w:t xml:space="preserve">implicarea în calitatea de Șef de santier în cadrul a cel puțin 1 </w:t>
            </w:r>
            <w:r w:rsidRPr="00912F3A">
              <w:rPr>
                <w:rFonts w:eastAsia="MS Mincho"/>
              </w:rPr>
              <w:t>proiect similar de execuție, sau de proiectare și execuție lucrări, având ca obiect lucrări de construcții de clădiri noi și/sau intervenții la clădiri existente (extinderi, reabilitări, modernizări, reparații capitale și/sau reabilitări termice), cel puțin din categoria de importanță C sau superioare, conform HG nr. 766/1997, cu modificările și completările ulterioare, care să fi inclus componente de energie din surse regenerabile (definiție: Energie din surse regenerabile: energie din surse regenerabile nefosile, precum energia eoliană, solară (termală și fotovoltaică), aerotermală, geotermală, hidrotermală, căldura ambientală, energia mareelor, a valurilor și alte tipuri de energie a oceanelor, energie hidroelectrică, biomasă, gaz de depozit, gaz provenit din instalațiile de epurare a apelor uzate și biogaz).</w:t>
            </w:r>
          </w:p>
          <w:p w:rsidR="009E69D9" w:rsidRPr="00621159" w:rsidRDefault="009E69D9" w:rsidP="00834CFA">
            <w:pPr>
              <w:spacing w:after="200" w:line="276" w:lineRule="auto"/>
              <w:contextualSpacing/>
              <w:jc w:val="both"/>
              <w:rPr>
                <w:rFonts w:eastAsia="Calibri"/>
                <w:bCs/>
                <w:lang w:val="pt-BR"/>
              </w:rPr>
            </w:pPr>
            <w:r w:rsidRPr="00621159">
              <w:rPr>
                <w:rFonts w:eastAsia="Calibri"/>
                <w:bCs/>
                <w:lang w:val="pt-BR"/>
              </w:rPr>
              <w:t>• minim 1 (unu) contract = 0 puncte.</w:t>
            </w:r>
          </w:p>
          <w:p w:rsidR="009E69D9" w:rsidRPr="00621159" w:rsidRDefault="009E69D9" w:rsidP="00834CFA">
            <w:pPr>
              <w:spacing w:after="200" w:line="276" w:lineRule="auto"/>
              <w:contextualSpacing/>
              <w:jc w:val="both"/>
              <w:rPr>
                <w:rFonts w:eastAsia="Calibri"/>
                <w:bCs/>
                <w:lang w:val="pt-BR"/>
              </w:rPr>
            </w:pPr>
            <w:r w:rsidRPr="00621159">
              <w:rPr>
                <w:rFonts w:eastAsia="Calibri"/>
                <w:bCs/>
                <w:lang w:val="pt-BR"/>
              </w:rPr>
              <w:t>• 2 (două) contracte =</w:t>
            </w:r>
            <w:r>
              <w:rPr>
                <w:rFonts w:eastAsia="Calibri"/>
                <w:bCs/>
                <w:lang w:val="pt-BR"/>
              </w:rPr>
              <w:t>5</w:t>
            </w:r>
            <w:r w:rsidRPr="00621159">
              <w:rPr>
                <w:rFonts w:eastAsia="Calibri"/>
                <w:bCs/>
                <w:lang w:val="pt-BR"/>
              </w:rPr>
              <w:t xml:space="preserve"> puncte</w:t>
            </w:r>
          </w:p>
          <w:p w:rsidR="009E69D9" w:rsidRPr="00621159" w:rsidRDefault="009E69D9" w:rsidP="00834CFA">
            <w:pPr>
              <w:spacing w:after="200" w:line="276" w:lineRule="auto"/>
              <w:contextualSpacing/>
              <w:jc w:val="both"/>
              <w:rPr>
                <w:rFonts w:eastAsia="Calibri"/>
                <w:bCs/>
                <w:lang w:val="pt-BR"/>
              </w:rPr>
            </w:pPr>
            <w:r w:rsidRPr="00621159">
              <w:rPr>
                <w:rFonts w:eastAsia="Calibri"/>
                <w:bCs/>
                <w:lang w:val="pt-BR"/>
              </w:rPr>
              <w:t>• 3 (trei) contracte =</w:t>
            </w:r>
            <w:r>
              <w:rPr>
                <w:rFonts w:eastAsia="Calibri"/>
                <w:bCs/>
                <w:lang w:val="pt-BR"/>
              </w:rPr>
              <w:t>10</w:t>
            </w:r>
            <w:r w:rsidRPr="00621159">
              <w:rPr>
                <w:rFonts w:eastAsia="Calibri"/>
                <w:bCs/>
                <w:lang w:val="pt-BR"/>
              </w:rPr>
              <w:t xml:space="preserve"> puncte</w:t>
            </w:r>
          </w:p>
          <w:p w:rsidR="009E69D9" w:rsidRPr="00621159" w:rsidRDefault="009E69D9" w:rsidP="00834CFA">
            <w:pPr>
              <w:spacing w:after="200" w:line="276" w:lineRule="auto"/>
              <w:contextualSpacing/>
              <w:jc w:val="both"/>
              <w:rPr>
                <w:rFonts w:eastAsia="Calibri"/>
                <w:bCs/>
                <w:lang w:val="pt-BR"/>
              </w:rPr>
            </w:pPr>
            <w:r w:rsidRPr="00621159">
              <w:rPr>
                <w:rFonts w:eastAsia="Calibri"/>
                <w:bCs/>
                <w:lang w:val="pt-BR"/>
              </w:rPr>
              <w:t>• mai mult de 3 (trei) contracte =</w:t>
            </w:r>
            <w:r>
              <w:rPr>
                <w:rFonts w:eastAsia="Calibri"/>
                <w:bCs/>
                <w:lang w:val="pt-BR"/>
              </w:rPr>
              <w:t>10</w:t>
            </w:r>
            <w:r w:rsidRPr="00621159">
              <w:rPr>
                <w:rFonts w:eastAsia="Calibri"/>
                <w:bCs/>
                <w:lang w:val="pt-BR"/>
              </w:rPr>
              <w:t xml:space="preserve"> puncte</w:t>
            </w:r>
          </w:p>
          <w:p w:rsidR="009E69D9" w:rsidRPr="00621159" w:rsidRDefault="009E69D9" w:rsidP="00834CFA">
            <w:pPr>
              <w:rPr>
                <w:iCs/>
                <w:lang w:val="en-GB" w:eastAsia="ro-RO"/>
              </w:rPr>
            </w:pPr>
            <w:r w:rsidRPr="00621159">
              <w:rPr>
                <w:iCs/>
                <w:lang w:val="en-GB" w:eastAsia="ro-RO"/>
              </w:rPr>
              <w:t xml:space="preserve">Pentru expertul indicat în cadrul ofertei, în scopul acordării punctajului aferent factorului de evaluare, se vor prezenta documente-suport relevante care atestă experiența specifică, cu titlu exemplificativ: fișa de post, contractul de muncă, recomandarea sau orice alte documente emise sau contrasemnate de beneficiarul contractului. Documentele suport prezentate trebuie sa indeplineasca urmatoarele conditii: </w:t>
            </w:r>
          </w:p>
          <w:p w:rsidR="009E69D9" w:rsidRPr="00621159" w:rsidRDefault="009E69D9" w:rsidP="00834CFA">
            <w:pPr>
              <w:rPr>
                <w:iCs/>
                <w:lang w:val="en-GB" w:eastAsia="ro-RO"/>
              </w:rPr>
            </w:pPr>
            <w:r w:rsidRPr="00621159">
              <w:rPr>
                <w:iCs/>
                <w:lang w:val="en-GB" w:eastAsia="ro-RO"/>
              </w:rPr>
              <w:t xml:space="preserve">1. Sa fie emis sau contrasemnat de beneficiar, </w:t>
            </w:r>
          </w:p>
          <w:p w:rsidR="009E69D9" w:rsidRPr="00621159" w:rsidRDefault="009E69D9" w:rsidP="00834CFA">
            <w:pPr>
              <w:rPr>
                <w:iCs/>
                <w:lang w:val="en-GB" w:eastAsia="ro-RO"/>
              </w:rPr>
            </w:pPr>
            <w:r w:rsidRPr="00621159">
              <w:rPr>
                <w:iCs/>
                <w:lang w:val="en-GB" w:eastAsia="ro-RO"/>
              </w:rPr>
              <w:t xml:space="preserve">2. Din el sa reiasa numele persoanei nominalizate si specializarea pe care o detine, </w:t>
            </w:r>
          </w:p>
          <w:p w:rsidR="009E69D9" w:rsidRPr="00621159" w:rsidRDefault="009E69D9" w:rsidP="00834CFA">
            <w:pPr>
              <w:spacing w:after="200" w:line="276" w:lineRule="auto"/>
              <w:contextualSpacing/>
              <w:jc w:val="both"/>
              <w:rPr>
                <w:rFonts w:eastAsia="Calibri"/>
                <w:bCs/>
                <w:lang w:val="pt-BR"/>
              </w:rPr>
            </w:pPr>
            <w:r w:rsidRPr="00621159">
              <w:rPr>
                <w:iCs/>
                <w:lang w:val="en-GB" w:eastAsia="ro-RO"/>
              </w:rPr>
              <w:t>3. Din el sa reiasa tipurile de activitati indeplinite de persoana nominalizata, astfel incat sa se faca dovada ca aceasta a indeplinit in cadrul proiectelor mentionate acelasi tip de activitati ca cele pe care urmeaza sa le indeplineasca in viitorul contract.</w:t>
            </w:r>
          </w:p>
        </w:tc>
      </w:tr>
      <w:tr w:rsidR="009E69D9" w:rsidRPr="00621159" w:rsidTr="00834CFA">
        <w:tc>
          <w:tcPr>
            <w:tcW w:w="3356" w:type="dxa"/>
          </w:tcPr>
          <w:p w:rsidR="009E69D9" w:rsidRPr="00621159" w:rsidRDefault="009E69D9" w:rsidP="00834CFA">
            <w:pPr>
              <w:spacing w:after="200" w:line="276" w:lineRule="auto"/>
              <w:ind w:right="-270"/>
              <w:contextualSpacing/>
              <w:jc w:val="both"/>
              <w:rPr>
                <w:rFonts w:eastAsia="Calibri"/>
                <w:b/>
                <w:lang w:val="pt-BR"/>
              </w:rPr>
            </w:pPr>
            <w:r w:rsidRPr="00621159">
              <w:rPr>
                <w:rFonts w:eastAsia="Calibri"/>
                <w:b/>
                <w:lang w:val="pt-BR"/>
              </w:rPr>
              <w:t>Perioada de garanție acordată</w:t>
            </w:r>
          </w:p>
          <w:p w:rsidR="009E69D9" w:rsidRPr="00621159" w:rsidRDefault="009E69D9" w:rsidP="00834CFA">
            <w:pPr>
              <w:spacing w:after="200" w:line="276" w:lineRule="auto"/>
              <w:ind w:right="-270"/>
              <w:contextualSpacing/>
              <w:jc w:val="both"/>
              <w:rPr>
                <w:rFonts w:eastAsia="Calibri"/>
                <w:b/>
                <w:lang w:val="pt-BR"/>
              </w:rPr>
            </w:pPr>
            <w:r w:rsidRPr="00621159">
              <w:rPr>
                <w:rFonts w:eastAsia="Calibri"/>
                <w:b/>
                <w:lang w:val="pt-BR"/>
              </w:rPr>
              <w:t>lucrării</w:t>
            </w:r>
          </w:p>
        </w:tc>
        <w:tc>
          <w:tcPr>
            <w:tcW w:w="3357" w:type="dxa"/>
          </w:tcPr>
          <w:p w:rsidR="009E69D9" w:rsidRPr="00621159" w:rsidRDefault="009E69D9" w:rsidP="00834CFA">
            <w:pPr>
              <w:spacing w:after="200" w:line="276" w:lineRule="auto"/>
              <w:ind w:right="-270"/>
              <w:contextualSpacing/>
              <w:jc w:val="both"/>
              <w:rPr>
                <w:rFonts w:eastAsia="Calibri"/>
                <w:b/>
                <w:lang w:val="pt-BR"/>
              </w:rPr>
            </w:pPr>
            <w:r w:rsidRPr="00621159">
              <w:rPr>
                <w:rFonts w:eastAsia="Calibri"/>
                <w:b/>
              </w:rPr>
              <w:t>Componentă tehnică</w:t>
            </w:r>
          </w:p>
        </w:tc>
        <w:tc>
          <w:tcPr>
            <w:tcW w:w="3357" w:type="dxa"/>
          </w:tcPr>
          <w:p w:rsidR="009E69D9" w:rsidRPr="00621159" w:rsidRDefault="009E69D9" w:rsidP="00834CFA">
            <w:pPr>
              <w:autoSpaceDE w:val="0"/>
              <w:autoSpaceDN w:val="0"/>
              <w:adjustRightInd w:val="0"/>
              <w:spacing w:line="276" w:lineRule="auto"/>
              <w:rPr>
                <w:b/>
              </w:rPr>
            </w:pPr>
            <w:r>
              <w:rPr>
                <w:b/>
              </w:rPr>
              <w:t>15</w:t>
            </w:r>
            <w:r w:rsidRPr="00621159">
              <w:rPr>
                <w:b/>
              </w:rPr>
              <w:t>%</w:t>
            </w:r>
          </w:p>
          <w:p w:rsidR="009E69D9" w:rsidRPr="00621159" w:rsidRDefault="009E69D9" w:rsidP="00834CFA">
            <w:pPr>
              <w:spacing w:after="200" w:line="276" w:lineRule="auto"/>
              <w:ind w:right="-270"/>
              <w:contextualSpacing/>
              <w:jc w:val="both"/>
              <w:rPr>
                <w:rFonts w:eastAsia="Calibri"/>
                <w:b/>
                <w:lang w:val="pt-BR"/>
              </w:rPr>
            </w:pPr>
            <w:r w:rsidRPr="00621159">
              <w:rPr>
                <w:b/>
              </w:rPr>
              <w:t xml:space="preserve">Punctaj maxim factor: </w:t>
            </w:r>
            <w:r>
              <w:rPr>
                <w:b/>
              </w:rPr>
              <w:t>15</w:t>
            </w:r>
          </w:p>
        </w:tc>
      </w:tr>
      <w:tr w:rsidR="009E69D9" w:rsidRPr="00621159" w:rsidTr="00834CFA">
        <w:tc>
          <w:tcPr>
            <w:tcW w:w="10070" w:type="dxa"/>
            <w:gridSpan w:val="3"/>
          </w:tcPr>
          <w:p w:rsidR="009E69D9" w:rsidRPr="00BC64DA" w:rsidRDefault="009E69D9" w:rsidP="00834CFA">
            <w:pPr>
              <w:spacing w:after="200" w:line="276" w:lineRule="auto"/>
              <w:ind w:right="-270"/>
              <w:contextualSpacing/>
              <w:jc w:val="both"/>
              <w:rPr>
                <w:rFonts w:eastAsia="Calibri"/>
                <w:bCs/>
              </w:rPr>
            </w:pPr>
            <w:r w:rsidRPr="00621159">
              <w:rPr>
                <w:rFonts w:eastAsia="Calibri"/>
                <w:bCs/>
              </w:rPr>
              <w:t xml:space="preserve">Algoritm de calcul: </w:t>
            </w:r>
          </w:p>
          <w:p w:rsidR="009E69D9" w:rsidRPr="00BC64DA" w:rsidRDefault="009E69D9" w:rsidP="009E69D9">
            <w:pPr>
              <w:numPr>
                <w:ilvl w:val="0"/>
                <w:numId w:val="7"/>
              </w:numPr>
              <w:autoSpaceDE w:val="0"/>
              <w:autoSpaceDN w:val="0"/>
              <w:adjustRightInd w:val="0"/>
              <w:jc w:val="both"/>
              <w:rPr>
                <w:color w:val="000000"/>
                <w:sz w:val="23"/>
                <w:szCs w:val="23"/>
                <w:lang w:val="en-GB"/>
              </w:rPr>
            </w:pPr>
            <w:r w:rsidRPr="00BC64DA">
              <w:rPr>
                <w:color w:val="000000"/>
                <w:sz w:val="23"/>
                <w:szCs w:val="23"/>
                <w:lang w:val="en-GB"/>
              </w:rPr>
              <w:t xml:space="preserve">Durata minima de garantie, conform art. 7, alin.3 din Legea 10/1995 privind </w:t>
            </w:r>
            <w:r w:rsidRPr="00621159">
              <w:rPr>
                <w:color w:val="000000"/>
                <w:sz w:val="23"/>
                <w:szCs w:val="23"/>
                <w:lang w:val="en-GB"/>
              </w:rPr>
              <w:t xml:space="preserve"> </w:t>
            </w:r>
            <w:r w:rsidRPr="00BC64DA">
              <w:rPr>
                <w:color w:val="000000"/>
                <w:sz w:val="23"/>
                <w:szCs w:val="23"/>
                <w:lang w:val="en-GB"/>
              </w:rPr>
              <w:t xml:space="preserve">calitatea in constructii, in functie de categoria de importanta C (normala), stabilita de proiectantul lucrarilor in baza prevederilor Ordinului nr. 31/N/1995, este de 36 luni. Pentru perioade de garantie mai mici de 36 de luni ofertele se considera neconforme. </w:t>
            </w:r>
          </w:p>
          <w:p w:rsidR="009E69D9" w:rsidRPr="00BC64DA" w:rsidRDefault="009E69D9" w:rsidP="009E69D9">
            <w:pPr>
              <w:numPr>
                <w:ilvl w:val="0"/>
                <w:numId w:val="8"/>
              </w:numPr>
              <w:autoSpaceDE w:val="0"/>
              <w:autoSpaceDN w:val="0"/>
              <w:adjustRightInd w:val="0"/>
              <w:spacing w:after="27"/>
              <w:jc w:val="both"/>
              <w:rPr>
                <w:color w:val="000000"/>
                <w:sz w:val="23"/>
                <w:szCs w:val="23"/>
                <w:lang w:val="en-GB"/>
              </w:rPr>
            </w:pPr>
            <w:r w:rsidRPr="00BC64DA">
              <w:rPr>
                <w:color w:val="000000"/>
                <w:sz w:val="23"/>
                <w:szCs w:val="23"/>
                <w:lang w:val="en-GB"/>
              </w:rPr>
              <w:t xml:space="preserve">Pentru oferta cu cea mai mare durata de garantie acordata lucrarii (Dgbe.max) se va acorda punctajul maxim alocat acestui factor de evaluare, respectiv </w:t>
            </w:r>
            <w:r>
              <w:rPr>
                <w:color w:val="000000"/>
                <w:sz w:val="23"/>
                <w:szCs w:val="23"/>
                <w:lang w:val="en-GB"/>
              </w:rPr>
              <w:t>15</w:t>
            </w:r>
            <w:r w:rsidRPr="00BC64DA">
              <w:rPr>
                <w:color w:val="000000"/>
                <w:sz w:val="23"/>
                <w:szCs w:val="23"/>
                <w:lang w:val="en-GB"/>
              </w:rPr>
              <w:t xml:space="preserve"> puncte. Pentru perioada de garantie acordata lucrarilor mai mare sau egala de 60 luni se acorda punctajul maxim alocat factorului de evaluare, respectiv </w:t>
            </w:r>
            <w:r>
              <w:rPr>
                <w:color w:val="000000"/>
                <w:sz w:val="23"/>
                <w:szCs w:val="23"/>
                <w:lang w:val="en-GB"/>
              </w:rPr>
              <w:t>15</w:t>
            </w:r>
            <w:r w:rsidRPr="00BC64DA">
              <w:rPr>
                <w:color w:val="000000"/>
                <w:sz w:val="23"/>
                <w:szCs w:val="23"/>
                <w:lang w:val="en-GB"/>
              </w:rPr>
              <w:t xml:space="preserve"> puncte. </w:t>
            </w:r>
          </w:p>
          <w:p w:rsidR="009E69D9" w:rsidRPr="00BC64DA" w:rsidRDefault="009E69D9" w:rsidP="009E69D9">
            <w:pPr>
              <w:numPr>
                <w:ilvl w:val="0"/>
                <w:numId w:val="8"/>
              </w:numPr>
              <w:autoSpaceDE w:val="0"/>
              <w:autoSpaceDN w:val="0"/>
              <w:adjustRightInd w:val="0"/>
              <w:jc w:val="both"/>
              <w:rPr>
                <w:color w:val="000000"/>
                <w:sz w:val="23"/>
                <w:szCs w:val="23"/>
                <w:lang w:val="en-GB"/>
              </w:rPr>
            </w:pPr>
            <w:r w:rsidRPr="00BC64DA">
              <w:rPr>
                <w:color w:val="000000"/>
                <w:sz w:val="23"/>
                <w:szCs w:val="23"/>
                <w:lang w:val="en-GB"/>
              </w:rPr>
              <w:t>Pentru o durata mai mica a garantiei acordata lucrarii decat cea prezentata la puncul b), dar mai mare decat cea specificata la punctul a), (Dgbe.oferta n) punctajul se va acorda dupa cum urmeaza: P2 (n) = (Dgbe.oferta n/Dgbe.max)x</w:t>
            </w:r>
            <w:r>
              <w:rPr>
                <w:color w:val="000000"/>
                <w:sz w:val="23"/>
                <w:szCs w:val="23"/>
                <w:lang w:val="en-GB"/>
              </w:rPr>
              <w:t>15</w:t>
            </w:r>
          </w:p>
          <w:p w:rsidR="009E69D9" w:rsidRPr="00BC64DA" w:rsidRDefault="009E69D9" w:rsidP="00834CFA">
            <w:pPr>
              <w:autoSpaceDE w:val="0"/>
              <w:autoSpaceDN w:val="0"/>
              <w:adjustRightInd w:val="0"/>
              <w:rPr>
                <w:color w:val="000000"/>
                <w:sz w:val="23"/>
                <w:szCs w:val="23"/>
                <w:lang w:val="en-GB"/>
              </w:rPr>
            </w:pPr>
          </w:p>
          <w:p w:rsidR="009E69D9" w:rsidRPr="00BC64DA" w:rsidRDefault="009E69D9" w:rsidP="00834CFA">
            <w:pPr>
              <w:autoSpaceDE w:val="0"/>
              <w:autoSpaceDN w:val="0"/>
              <w:adjustRightInd w:val="0"/>
              <w:rPr>
                <w:color w:val="000000"/>
                <w:sz w:val="23"/>
                <w:szCs w:val="23"/>
                <w:lang w:val="en-GB"/>
              </w:rPr>
            </w:pPr>
            <w:r w:rsidRPr="00BC64DA">
              <w:rPr>
                <w:i/>
                <w:iCs/>
                <w:color w:val="000000"/>
                <w:sz w:val="23"/>
                <w:szCs w:val="23"/>
                <w:lang w:val="en-GB"/>
              </w:rPr>
              <w:t xml:space="preserve">Durata de garantie acordata va fi sustinuta, demonstrata si asumata prin Planul Calitatii lucrarii, Descrierea lucrărilor care vor fi executate, operaţiunile tehnologice si echipamentele utilizate pentru realizarea acestora, utilajele/echipamentele inglobate in lucrare prezentate conform cerintelor Caietului de Sarcini si documentatiei de atribuire. De asemenea, ofertantul va descrie Planul de mobilizare în vederea remedierii defectiunilor aparute în perioada de garanție, cu precizarea modalităților, a termenului de intervenție și a duratelor de remediere a potențialelor defecțiuni datorate viciilor de execuție și cu precizarea resurselor de personal </w:t>
            </w:r>
          </w:p>
          <w:p w:rsidR="009E69D9" w:rsidRPr="00BC64DA" w:rsidRDefault="009E69D9" w:rsidP="00834CFA">
            <w:pPr>
              <w:pageBreakBefore/>
              <w:autoSpaceDE w:val="0"/>
              <w:autoSpaceDN w:val="0"/>
              <w:adjustRightInd w:val="0"/>
              <w:rPr>
                <w:color w:val="000000"/>
                <w:sz w:val="23"/>
                <w:szCs w:val="23"/>
                <w:lang w:val="en-GB"/>
              </w:rPr>
            </w:pPr>
            <w:r w:rsidRPr="00BC64DA">
              <w:rPr>
                <w:i/>
                <w:iCs/>
                <w:color w:val="000000"/>
                <w:sz w:val="23"/>
                <w:szCs w:val="23"/>
                <w:lang w:val="en-GB"/>
              </w:rPr>
              <w:t xml:space="preserve">și tehnice alocate, raportat la durata acordata. Garantia oferita de Ofertant va fi stipulata la nivelul Contractului dintre parti si va deveni obligatorie. </w:t>
            </w:r>
          </w:p>
          <w:p w:rsidR="009E69D9" w:rsidRPr="00BC64DA" w:rsidRDefault="009E69D9" w:rsidP="00834CFA">
            <w:pPr>
              <w:autoSpaceDE w:val="0"/>
              <w:autoSpaceDN w:val="0"/>
              <w:adjustRightInd w:val="0"/>
              <w:rPr>
                <w:color w:val="000000"/>
                <w:sz w:val="23"/>
                <w:szCs w:val="23"/>
                <w:lang w:val="en-GB"/>
              </w:rPr>
            </w:pPr>
            <w:r w:rsidRPr="00BC64DA">
              <w:rPr>
                <w:i/>
                <w:iCs/>
                <w:color w:val="000000"/>
                <w:sz w:val="23"/>
                <w:szCs w:val="23"/>
                <w:lang w:val="en-GB"/>
              </w:rPr>
              <w:lastRenderedPageBreak/>
              <w:t xml:space="preserve">Perioada de garantie ofertata va fi sustinuta prin specificarea in cadrul Propunerii Tehnice a materialelor si tehnologiilor pe care Ofertantul le va utiliza in vederea asigurarii calitatii lucrarii pe intreaga perioada de garantie ofertata. In Propunerea Tehnica ofertantul va descrie modul in care planul de management al calitatii va asigura nivelul necesar de calitate al rezultatelor sale si al proceselor de lucru, prin prezentarea abordarii generale si modalitatii pentru realizarea activitatilor din cadrul contractului, inclusiv prin descrierea detaliata a metodelor de lucru pentru componentele majore ale lucrarii si a materialelor pe care le va pune in opera (pentru care trebuie sa prezinte la punerea in opera documente de conformitate) cu indicarea producatorilor si a furnizorilor autorizati, astfel incat ofertarea unei garantii extinse a lucrarilor sa nu se faca doar la nivel declarativ in vederea obtinerii unui punctaj mare pentru acest factor de evaluare. Neprezentarea acestor informatii in cadrul Propunerii Tehnice va conduce la neacordarea punctajului aferent factorului de evaluare ce vizeaza perioada de garantie a lucrarilor suplimentar ofertata. </w:t>
            </w:r>
          </w:p>
          <w:p w:rsidR="009E69D9" w:rsidRPr="00621159" w:rsidRDefault="009E69D9" w:rsidP="00834CFA">
            <w:pPr>
              <w:spacing w:after="200" w:line="276" w:lineRule="auto"/>
              <w:contextualSpacing/>
              <w:jc w:val="both"/>
              <w:rPr>
                <w:rFonts w:eastAsia="Calibri"/>
                <w:b/>
                <w:lang w:val="pt-BR"/>
              </w:rPr>
            </w:pPr>
            <w:r w:rsidRPr="00621159">
              <w:rPr>
                <w:i/>
                <w:iCs/>
                <w:color w:val="000000"/>
                <w:sz w:val="23"/>
                <w:szCs w:val="23"/>
                <w:lang w:val="en-GB"/>
              </w:rPr>
              <w:t>Ofertanții vor detalia informațiile în legătură cu utilajele puse la dispoziție in perioada de garanție pentru asigurarea garanției. Ofertantul va prezenta un plan propriu de interventie in care va justifica timpul de mobilizare pentru interventia in solutionarea defectiunilor intervenite in perioada de garantie a lucrarilor. Timpul de mobilizare pentru interventie reprezinta perioada cuprinsa intre ziua in care Executantul primeste notificarea beneficiarului privind defectiunile si ziua propriu-zisa cand demareaza interventia pentru remedierea defectiunilor. Timpul se va exprima in zile.</w:t>
            </w:r>
          </w:p>
        </w:tc>
      </w:tr>
      <w:tr w:rsidR="009E69D9" w:rsidRPr="00621159" w:rsidTr="00834CFA">
        <w:tc>
          <w:tcPr>
            <w:tcW w:w="10070" w:type="dxa"/>
            <w:gridSpan w:val="3"/>
          </w:tcPr>
          <w:p w:rsidR="009E69D9" w:rsidRPr="00621159" w:rsidRDefault="009E69D9" w:rsidP="00834CFA">
            <w:pPr>
              <w:spacing w:after="200" w:line="276" w:lineRule="auto"/>
              <w:ind w:right="-270"/>
              <w:contextualSpacing/>
              <w:jc w:val="both"/>
              <w:rPr>
                <w:rFonts w:eastAsia="Calibri"/>
                <w:b/>
                <w:lang w:val="pt-BR"/>
              </w:rPr>
            </w:pPr>
            <w:r w:rsidRPr="00621159">
              <w:rPr>
                <w:rFonts w:eastAsia="Calibri"/>
                <w:b/>
              </w:rPr>
              <w:lastRenderedPageBreak/>
              <w:t>Punctaj maxim total: 100</w:t>
            </w:r>
          </w:p>
        </w:tc>
      </w:tr>
    </w:tbl>
    <w:p w:rsidR="00370E46" w:rsidRPr="00370E46" w:rsidRDefault="00370E46" w:rsidP="00370E46">
      <w:pPr>
        <w:spacing w:after="200" w:line="276" w:lineRule="auto"/>
        <w:ind w:right="-270"/>
        <w:contextualSpacing/>
        <w:jc w:val="both"/>
        <w:rPr>
          <w:rFonts w:eastAsia="Calibri"/>
          <w:b/>
          <w:sz w:val="24"/>
          <w:szCs w:val="24"/>
          <w:lang w:val="pt-BR"/>
        </w:rPr>
      </w:pPr>
    </w:p>
    <w:p w:rsidR="00370E46" w:rsidRPr="00370E46" w:rsidRDefault="00370E46" w:rsidP="00370E46">
      <w:pPr>
        <w:spacing w:after="200" w:line="276" w:lineRule="auto"/>
        <w:ind w:right="-270"/>
        <w:contextualSpacing/>
        <w:jc w:val="both"/>
        <w:rPr>
          <w:rFonts w:eastAsia="Calibri"/>
          <w:bCs/>
          <w:sz w:val="24"/>
          <w:szCs w:val="24"/>
          <w:lang w:val="pt-BR"/>
        </w:rPr>
      </w:pPr>
      <w:r w:rsidRPr="00370E46">
        <w:rPr>
          <w:rFonts w:eastAsia="Calibri"/>
          <w:bCs/>
          <w:sz w:val="24"/>
          <w:szCs w:val="24"/>
          <w:lang w:val="pt-BR"/>
        </w:rPr>
        <w:t>Ofertă stabilită că fiind câștigatoare devine oferta care întrunește punctajul cel mai mare rezultat din aplicarea sistemului de factori de evaluare.</w:t>
      </w:r>
    </w:p>
    <w:p w:rsidR="00370E46" w:rsidRPr="00370E46" w:rsidRDefault="00370E46" w:rsidP="00370E46">
      <w:pPr>
        <w:spacing w:after="200" w:line="276" w:lineRule="auto"/>
        <w:ind w:right="-270"/>
        <w:contextualSpacing/>
        <w:jc w:val="both"/>
        <w:rPr>
          <w:rFonts w:eastAsia="Calibri"/>
          <w:bCs/>
          <w:i/>
          <w:sz w:val="24"/>
          <w:szCs w:val="24"/>
          <w:lang w:val="pt-BR"/>
        </w:rPr>
      </w:pPr>
      <w:r w:rsidRPr="00370E46">
        <w:rPr>
          <w:rFonts w:eastAsia="Calibri"/>
          <w:b/>
          <w:i/>
          <w:sz w:val="24"/>
          <w:szCs w:val="24"/>
          <w:lang w:val="pt-BR"/>
        </w:rPr>
        <w:t>Notă:</w:t>
      </w:r>
      <w:r w:rsidRPr="00370E46">
        <w:rPr>
          <w:rFonts w:eastAsia="Calibri"/>
          <w:bCs/>
          <w:i/>
          <w:sz w:val="24"/>
          <w:szCs w:val="24"/>
          <w:lang w:val="pt-BR"/>
        </w:rPr>
        <w:t xml:space="preserve"> Punctajul se va acorda de comisia de evaluare prin aplicarea algoritmului de calcul stabilit. În cazul în care două sau mai multe oferte sunt clasate pe primul loc, cu punctaje egale, departajarea se va face având în vedere punctajul obţinut la factorii de evaluare în ordinea descrescătoare a ponderilor acestora. În situaţia în care egalitatea se menţine, autoritatea contractantă are dreptul să solicite noi propuneri financiare, şi oferta câştigătoare va fi desemnată cea cu propunerea financiară cea mai mică.  </w:t>
      </w:r>
    </w:p>
    <w:p w:rsidR="00311F16" w:rsidRPr="00370E46" w:rsidRDefault="00311F16" w:rsidP="00311F16">
      <w:pPr>
        <w:ind w:right="110"/>
        <w:jc w:val="both"/>
        <w:rPr>
          <w:sz w:val="24"/>
          <w:szCs w:val="24"/>
        </w:rPr>
      </w:pPr>
    </w:p>
    <w:p w:rsidR="00311F16" w:rsidRPr="00370E46" w:rsidRDefault="00311F16" w:rsidP="00311F16">
      <w:pPr>
        <w:jc w:val="both"/>
        <w:rPr>
          <w:sz w:val="24"/>
          <w:szCs w:val="24"/>
        </w:rPr>
      </w:pPr>
      <w:r w:rsidRPr="00370E46">
        <w:rPr>
          <w:sz w:val="24"/>
          <w:szCs w:val="24"/>
        </w:rPr>
        <w:t>Detalii privind determinarea punctajului total:</w:t>
      </w:r>
    </w:p>
    <w:p w:rsidR="00311F16" w:rsidRPr="00370E46" w:rsidRDefault="009E69D9" w:rsidP="00311F16">
      <w:pPr>
        <w:jc w:val="both"/>
        <w:rPr>
          <w:sz w:val="24"/>
          <w:szCs w:val="24"/>
        </w:rPr>
      </w:pPr>
      <w:r>
        <w:rPr>
          <w:sz w:val="24"/>
          <w:szCs w:val="24"/>
        </w:rPr>
        <w:t>PT = P1 + P2 + P3+P4</w:t>
      </w:r>
    </w:p>
    <w:p w:rsidR="00311F16" w:rsidRPr="00370E46" w:rsidRDefault="00311F16" w:rsidP="00311F16">
      <w:pPr>
        <w:jc w:val="both"/>
        <w:rPr>
          <w:sz w:val="24"/>
          <w:szCs w:val="24"/>
        </w:rPr>
      </w:pPr>
      <w:r w:rsidRPr="00370E46">
        <w:rPr>
          <w:sz w:val="24"/>
          <w:szCs w:val="24"/>
        </w:rPr>
        <w:t>unde: PT – punctajul total (maximum 100 puncte)</w:t>
      </w:r>
    </w:p>
    <w:p w:rsidR="00311F16" w:rsidRPr="00370E46" w:rsidRDefault="00311F16" w:rsidP="00311F16">
      <w:pPr>
        <w:jc w:val="both"/>
        <w:rPr>
          <w:sz w:val="24"/>
          <w:szCs w:val="24"/>
        </w:rPr>
      </w:pPr>
    </w:p>
    <w:bookmarkEnd w:id="0"/>
    <w:p w:rsidR="008F6533" w:rsidRPr="00635EC9" w:rsidRDefault="008F6533" w:rsidP="008F6533">
      <w:pPr>
        <w:widowControl w:val="0"/>
        <w:kinsoku w:val="0"/>
        <w:overflowPunct w:val="0"/>
        <w:spacing w:before="120" w:after="120"/>
        <w:ind w:right="-46"/>
        <w:jc w:val="both"/>
        <w:textAlignment w:val="baseline"/>
        <w:rPr>
          <w:sz w:val="22"/>
          <w:szCs w:val="22"/>
          <w:lang w:val="en-US"/>
        </w:rPr>
      </w:pPr>
      <w:r w:rsidRPr="00635EC9">
        <w:rPr>
          <w:sz w:val="22"/>
          <w:szCs w:val="22"/>
          <w:lang w:val="en-US"/>
        </w:rPr>
        <w:t>Formula de calcul a punctajului total:</w:t>
      </w:r>
    </w:p>
    <w:p w:rsidR="008F6533" w:rsidRPr="00635EC9" w:rsidRDefault="008F6533" w:rsidP="008F6533">
      <w:pPr>
        <w:widowControl w:val="0"/>
        <w:kinsoku w:val="0"/>
        <w:overflowPunct w:val="0"/>
        <w:spacing w:before="120" w:after="120"/>
        <w:ind w:right="-46"/>
        <w:jc w:val="both"/>
        <w:textAlignment w:val="baseline"/>
        <w:rPr>
          <w:sz w:val="22"/>
          <w:szCs w:val="22"/>
          <w:lang w:val="en-US"/>
        </w:rPr>
      </w:pPr>
      <w:r w:rsidRPr="00635EC9">
        <w:rPr>
          <w:sz w:val="22"/>
          <w:szCs w:val="22"/>
          <w:lang w:val="en-US"/>
        </w:rPr>
        <w:t>Punctaj total (P) = P1 + P2 + P3+P4</w:t>
      </w:r>
    </w:p>
    <w:p w:rsidR="008F6533" w:rsidRPr="00635EC9" w:rsidRDefault="008F6533" w:rsidP="008F6533">
      <w:pPr>
        <w:widowControl w:val="0"/>
        <w:kinsoku w:val="0"/>
        <w:overflowPunct w:val="0"/>
        <w:spacing w:before="120" w:after="120"/>
        <w:ind w:right="-46"/>
        <w:jc w:val="both"/>
        <w:textAlignment w:val="baseline"/>
        <w:rPr>
          <w:b/>
          <w:bCs/>
          <w:sz w:val="22"/>
          <w:szCs w:val="22"/>
          <w:lang w:val="en-US"/>
        </w:rPr>
      </w:pPr>
      <w:r w:rsidRPr="00635EC9">
        <w:rPr>
          <w:b/>
          <w:bCs/>
          <w:sz w:val="22"/>
          <w:szCs w:val="22"/>
          <w:lang w:val="en-US"/>
        </w:rPr>
        <w:t>Oferta castigatoare este oferta clasata pe primul loc (cu punctaj maxim).</w:t>
      </w:r>
    </w:p>
    <w:p w:rsidR="008F6533" w:rsidRPr="00635EC9" w:rsidRDefault="008F6533" w:rsidP="008F6533">
      <w:pPr>
        <w:widowControl w:val="0"/>
        <w:kinsoku w:val="0"/>
        <w:overflowPunct w:val="0"/>
        <w:spacing w:before="120" w:after="120"/>
        <w:ind w:right="-46"/>
        <w:jc w:val="both"/>
        <w:textAlignment w:val="baseline"/>
        <w:rPr>
          <w:sz w:val="22"/>
          <w:szCs w:val="22"/>
          <w:lang w:val="en-US"/>
        </w:rPr>
      </w:pPr>
      <w:r w:rsidRPr="00635EC9">
        <w:rPr>
          <w:sz w:val="22"/>
          <w:szCs w:val="22"/>
          <w:lang w:val="en-US"/>
        </w:rPr>
        <w:t>Daca doua sau mai multe oferta clasate pe primul loc obtin acelasi punctaj, Autoritatea Contractanta va desemna castigator acel ofertant care a prezentat pretul cel mai scazut.</w:t>
      </w:r>
    </w:p>
    <w:p w:rsidR="008F6533" w:rsidRPr="00635EC9" w:rsidRDefault="008F6533" w:rsidP="008F6533">
      <w:pPr>
        <w:widowControl w:val="0"/>
        <w:kinsoku w:val="0"/>
        <w:overflowPunct w:val="0"/>
        <w:spacing w:before="120" w:after="120"/>
        <w:ind w:right="-46"/>
        <w:jc w:val="both"/>
        <w:textAlignment w:val="baseline"/>
        <w:rPr>
          <w:sz w:val="22"/>
          <w:szCs w:val="22"/>
          <w:lang w:val="en-US"/>
        </w:rPr>
      </w:pPr>
      <w:r w:rsidRPr="00635EC9">
        <w:rPr>
          <w:sz w:val="22"/>
          <w:szCs w:val="22"/>
          <w:lang w:val="en-US"/>
        </w:rPr>
        <w:t>Daca si Preturile sunt egale, Autoritatea Contractanta va desemna castigator pe acel ofertant care a obtinut punctajul cel mai mare pentru Factorul de Evaluare 2 (P2).</w:t>
      </w:r>
    </w:p>
    <w:p w:rsidR="008F6533" w:rsidRPr="00635EC9" w:rsidRDefault="008F6533" w:rsidP="008F6533">
      <w:pPr>
        <w:widowControl w:val="0"/>
        <w:kinsoku w:val="0"/>
        <w:overflowPunct w:val="0"/>
        <w:spacing w:before="120" w:after="120"/>
        <w:ind w:right="-46"/>
        <w:jc w:val="both"/>
        <w:textAlignment w:val="baseline"/>
        <w:rPr>
          <w:sz w:val="22"/>
          <w:szCs w:val="22"/>
          <w:lang w:val="en-US"/>
        </w:rPr>
      </w:pPr>
      <w:r w:rsidRPr="00635EC9">
        <w:rPr>
          <w:sz w:val="22"/>
          <w:szCs w:val="22"/>
          <w:lang w:val="en-US"/>
        </w:rPr>
        <w:t>Daca punctajele sunt in continuare egale, Autoritatea Contractanta va desemna castigator pe acel ofertant care a obtinut punctajul cel mai mare pentru Factorul de Evaluare 3 (P3).</w:t>
      </w:r>
    </w:p>
    <w:p w:rsidR="008F6533" w:rsidRPr="00635EC9" w:rsidRDefault="008F6533" w:rsidP="008F6533">
      <w:pPr>
        <w:widowControl w:val="0"/>
        <w:kinsoku w:val="0"/>
        <w:overflowPunct w:val="0"/>
        <w:spacing w:before="120" w:after="120"/>
        <w:ind w:right="-46"/>
        <w:jc w:val="both"/>
        <w:textAlignment w:val="baseline"/>
        <w:rPr>
          <w:sz w:val="22"/>
          <w:szCs w:val="22"/>
          <w:lang w:val="en-US"/>
        </w:rPr>
      </w:pPr>
      <w:r w:rsidRPr="00635EC9">
        <w:rPr>
          <w:sz w:val="22"/>
          <w:szCs w:val="22"/>
          <w:lang w:val="en-US"/>
        </w:rPr>
        <w:t>Daca punctajele sunt in continuare egale, Autoritatea Contractanta va desemna castigator pe acel ofertant care a obtinut punctajul cel mai mare pentru Factorul de Evaluare 4 (P4).</w:t>
      </w:r>
    </w:p>
    <w:p w:rsidR="008F6533" w:rsidRPr="00635EC9" w:rsidRDefault="008F6533" w:rsidP="008F6533">
      <w:pPr>
        <w:widowControl w:val="0"/>
        <w:kinsoku w:val="0"/>
        <w:overflowPunct w:val="0"/>
        <w:spacing w:before="120" w:after="120"/>
        <w:ind w:right="-46"/>
        <w:jc w:val="both"/>
        <w:textAlignment w:val="baseline"/>
        <w:rPr>
          <w:sz w:val="22"/>
          <w:szCs w:val="22"/>
          <w:lang w:val="en-US"/>
        </w:rPr>
      </w:pPr>
      <w:r w:rsidRPr="00635EC9">
        <w:rPr>
          <w:sz w:val="22"/>
          <w:szCs w:val="22"/>
          <w:lang w:val="en-US"/>
        </w:rPr>
        <w:lastRenderedPageBreak/>
        <w:t>Factorii justificati sunt de o importanta covarsitoare in derularea contractului, aducand atat avantaje financiare cat si de calitate intregii investitii.</w:t>
      </w:r>
    </w:p>
    <w:p w:rsidR="00630895" w:rsidRPr="00370E46" w:rsidRDefault="008F6533" w:rsidP="008F6533">
      <w:pPr>
        <w:rPr>
          <w:sz w:val="24"/>
          <w:szCs w:val="24"/>
        </w:rPr>
      </w:pPr>
      <w:r w:rsidRPr="00635EC9">
        <w:rPr>
          <w:sz w:val="22"/>
          <w:szCs w:val="22"/>
        </w:rPr>
        <w:t>Punctaj maxim total 100 puncte</w:t>
      </w:r>
    </w:p>
    <w:sectPr w:rsidR="00630895" w:rsidRPr="00370E46" w:rsidSect="00C9406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866C9C"/>
    <w:multiLevelType w:val="hybridMultilevel"/>
    <w:tmpl w:val="ACF0365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0720CE2"/>
    <w:multiLevelType w:val="hybridMultilevel"/>
    <w:tmpl w:val="51166B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D152C0"/>
    <w:multiLevelType w:val="hybridMultilevel"/>
    <w:tmpl w:val="60564B82"/>
    <w:styleLink w:val="1111116"/>
    <w:lvl w:ilvl="0" w:tplc="5C2A2956">
      <w:start w:val="6"/>
      <w:numFmt w:val="bullet"/>
      <w:pStyle w:val="Aufzhlung2"/>
      <w:lvlText w:val="-"/>
      <w:lvlJc w:val="left"/>
      <w:pPr>
        <w:tabs>
          <w:tab w:val="num" w:pos="360"/>
        </w:tabs>
        <w:ind w:left="360" w:hanging="360"/>
      </w:pPr>
      <w:rPr>
        <w:rFonts w:ascii="Times New Roman" w:eastAsia="Times New Roman" w:hAnsi="Times New Roman" w:cs="Times New Roman" w:hint="default"/>
      </w:rPr>
    </w:lvl>
    <w:lvl w:ilvl="1" w:tplc="C6FC348A">
      <w:numFmt w:val="bullet"/>
      <w:lvlText w:val="-"/>
      <w:lvlJc w:val="left"/>
      <w:pPr>
        <w:tabs>
          <w:tab w:val="num" w:pos="5813"/>
        </w:tabs>
        <w:ind w:left="5813" w:hanging="360"/>
      </w:pPr>
      <w:rPr>
        <w:rFonts w:ascii="Arial" w:eastAsia="Times New Roman" w:hAnsi="Arial" w:cs="Arial" w:hint="default"/>
      </w:rPr>
    </w:lvl>
    <w:lvl w:ilvl="2" w:tplc="F63C280A">
      <w:start w:val="1"/>
      <w:numFmt w:val="bullet"/>
      <w:lvlText w:val=""/>
      <w:lvlJc w:val="left"/>
      <w:pPr>
        <w:tabs>
          <w:tab w:val="num" w:pos="2651"/>
        </w:tabs>
        <w:ind w:left="2651" w:hanging="360"/>
      </w:pPr>
      <w:rPr>
        <w:rFonts w:ascii="Wingdings" w:hAnsi="Wingdings" w:hint="default"/>
      </w:rPr>
    </w:lvl>
    <w:lvl w:ilvl="3" w:tplc="56A800F8">
      <w:numFmt w:val="bullet"/>
      <w:lvlText w:val="·"/>
      <w:lvlJc w:val="left"/>
      <w:pPr>
        <w:ind w:left="3371" w:hanging="360"/>
      </w:pPr>
      <w:rPr>
        <w:rFonts w:ascii="Arial" w:eastAsia="Times New Roman" w:hAnsi="Arial" w:cs="Arial" w:hint="default"/>
      </w:rPr>
    </w:lvl>
    <w:lvl w:ilvl="4" w:tplc="62A4A896" w:tentative="1">
      <w:start w:val="1"/>
      <w:numFmt w:val="bullet"/>
      <w:lvlText w:val="o"/>
      <w:lvlJc w:val="left"/>
      <w:pPr>
        <w:tabs>
          <w:tab w:val="num" w:pos="4091"/>
        </w:tabs>
        <w:ind w:left="4091" w:hanging="360"/>
      </w:pPr>
      <w:rPr>
        <w:rFonts w:ascii="Courier New" w:hAnsi="Courier New" w:hint="default"/>
      </w:rPr>
    </w:lvl>
    <w:lvl w:ilvl="5" w:tplc="0B285212" w:tentative="1">
      <w:start w:val="1"/>
      <w:numFmt w:val="bullet"/>
      <w:lvlText w:val=""/>
      <w:lvlJc w:val="left"/>
      <w:pPr>
        <w:tabs>
          <w:tab w:val="num" w:pos="4811"/>
        </w:tabs>
        <w:ind w:left="4811" w:hanging="360"/>
      </w:pPr>
      <w:rPr>
        <w:rFonts w:ascii="Wingdings" w:hAnsi="Wingdings" w:hint="default"/>
      </w:rPr>
    </w:lvl>
    <w:lvl w:ilvl="6" w:tplc="F962DAB6" w:tentative="1">
      <w:start w:val="1"/>
      <w:numFmt w:val="bullet"/>
      <w:lvlText w:val=""/>
      <w:lvlJc w:val="left"/>
      <w:pPr>
        <w:tabs>
          <w:tab w:val="num" w:pos="5531"/>
        </w:tabs>
        <w:ind w:left="5531" w:hanging="360"/>
      </w:pPr>
      <w:rPr>
        <w:rFonts w:ascii="Symbol" w:hAnsi="Symbol" w:hint="default"/>
      </w:rPr>
    </w:lvl>
    <w:lvl w:ilvl="7" w:tplc="02467A16" w:tentative="1">
      <w:start w:val="1"/>
      <w:numFmt w:val="bullet"/>
      <w:lvlText w:val="o"/>
      <w:lvlJc w:val="left"/>
      <w:pPr>
        <w:tabs>
          <w:tab w:val="num" w:pos="6251"/>
        </w:tabs>
        <w:ind w:left="6251" w:hanging="360"/>
      </w:pPr>
      <w:rPr>
        <w:rFonts w:ascii="Courier New" w:hAnsi="Courier New" w:hint="default"/>
      </w:rPr>
    </w:lvl>
    <w:lvl w:ilvl="8" w:tplc="3B6E7680" w:tentative="1">
      <w:start w:val="1"/>
      <w:numFmt w:val="bullet"/>
      <w:lvlText w:val=""/>
      <w:lvlJc w:val="left"/>
      <w:pPr>
        <w:tabs>
          <w:tab w:val="num" w:pos="6971"/>
        </w:tabs>
        <w:ind w:left="6971" w:hanging="360"/>
      </w:pPr>
      <w:rPr>
        <w:rFonts w:ascii="Wingdings" w:hAnsi="Wingdings" w:hint="default"/>
      </w:rPr>
    </w:lvl>
  </w:abstractNum>
  <w:abstractNum w:abstractNumId="3">
    <w:nsid w:val="1F8F6AF8"/>
    <w:multiLevelType w:val="hybridMultilevel"/>
    <w:tmpl w:val="03563CEC"/>
    <w:lvl w:ilvl="0" w:tplc="83C24EFC">
      <w:start w:val="1"/>
      <w:numFmt w:val="bullet"/>
      <w:lvlText w:val="-"/>
      <w:lvlJc w:val="left"/>
      <w:pPr>
        <w:ind w:left="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5423CA">
      <w:start w:val="1"/>
      <w:numFmt w:val="bullet"/>
      <w:lvlText w:val="o"/>
      <w:lvlJc w:val="left"/>
      <w:pPr>
        <w:ind w:left="1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F68689A">
      <w:start w:val="1"/>
      <w:numFmt w:val="bullet"/>
      <w:lvlText w:val="▪"/>
      <w:lvlJc w:val="left"/>
      <w:pPr>
        <w:ind w:left="2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CE85A2A">
      <w:start w:val="1"/>
      <w:numFmt w:val="bullet"/>
      <w:lvlText w:val="•"/>
      <w:lvlJc w:val="left"/>
      <w:pPr>
        <w:ind w:left="2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4FEA03A">
      <w:start w:val="1"/>
      <w:numFmt w:val="bullet"/>
      <w:lvlText w:val="o"/>
      <w:lvlJc w:val="left"/>
      <w:pPr>
        <w:ind w:left="3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C665D6">
      <w:start w:val="1"/>
      <w:numFmt w:val="bullet"/>
      <w:lvlText w:val="▪"/>
      <w:lvlJc w:val="left"/>
      <w:pPr>
        <w:ind w:left="4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482B78">
      <w:start w:val="1"/>
      <w:numFmt w:val="bullet"/>
      <w:lvlText w:val="•"/>
      <w:lvlJc w:val="left"/>
      <w:pPr>
        <w:ind w:left="4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0EA63E">
      <w:start w:val="1"/>
      <w:numFmt w:val="bullet"/>
      <w:lvlText w:val="o"/>
      <w:lvlJc w:val="left"/>
      <w:pPr>
        <w:ind w:left="5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44F0DE">
      <w:start w:val="1"/>
      <w:numFmt w:val="bullet"/>
      <w:lvlText w:val="▪"/>
      <w:lvlJc w:val="left"/>
      <w:pPr>
        <w:ind w:left="6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4E0E2F18"/>
    <w:multiLevelType w:val="hybridMultilevel"/>
    <w:tmpl w:val="B08C9B94"/>
    <w:lvl w:ilvl="0" w:tplc="23E67A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FDF5383"/>
    <w:multiLevelType w:val="hybridMultilevel"/>
    <w:tmpl w:val="427E386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57256C07"/>
    <w:multiLevelType w:val="hybridMultilevel"/>
    <w:tmpl w:val="F64204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C57BDDE"/>
    <w:multiLevelType w:val="hybridMultilevel"/>
    <w:tmpl w:val="ADCC872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3"/>
  </w:num>
  <w:num w:numId="3">
    <w:abstractNumId w:val="2"/>
  </w:num>
  <w:num w:numId="4">
    <w:abstractNumId w:val="5"/>
  </w:num>
  <w:num w:numId="5">
    <w:abstractNumId w:val="4"/>
  </w:num>
  <w:num w:numId="6">
    <w:abstractNumId w:val="1"/>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630895"/>
    <w:rsid w:val="00086BE8"/>
    <w:rsid w:val="001B3A62"/>
    <w:rsid w:val="00213540"/>
    <w:rsid w:val="00276FA0"/>
    <w:rsid w:val="002F553F"/>
    <w:rsid w:val="00303DB7"/>
    <w:rsid w:val="00311F16"/>
    <w:rsid w:val="00317F19"/>
    <w:rsid w:val="00370E46"/>
    <w:rsid w:val="003C2F2E"/>
    <w:rsid w:val="0042362B"/>
    <w:rsid w:val="00540E03"/>
    <w:rsid w:val="005B03B3"/>
    <w:rsid w:val="00630895"/>
    <w:rsid w:val="0063486A"/>
    <w:rsid w:val="0067533B"/>
    <w:rsid w:val="00693643"/>
    <w:rsid w:val="006D37DA"/>
    <w:rsid w:val="00725640"/>
    <w:rsid w:val="00774DFB"/>
    <w:rsid w:val="00786C42"/>
    <w:rsid w:val="0079585F"/>
    <w:rsid w:val="007C5107"/>
    <w:rsid w:val="008266C9"/>
    <w:rsid w:val="00840A7C"/>
    <w:rsid w:val="008B2B00"/>
    <w:rsid w:val="008F6533"/>
    <w:rsid w:val="00903C83"/>
    <w:rsid w:val="0095487A"/>
    <w:rsid w:val="009E69D9"/>
    <w:rsid w:val="009F4C25"/>
    <w:rsid w:val="00A2577E"/>
    <w:rsid w:val="00A355C5"/>
    <w:rsid w:val="00A55EDC"/>
    <w:rsid w:val="00AA72A0"/>
    <w:rsid w:val="00AC1F1A"/>
    <w:rsid w:val="00B13169"/>
    <w:rsid w:val="00B401CE"/>
    <w:rsid w:val="00B9330D"/>
    <w:rsid w:val="00BB7624"/>
    <w:rsid w:val="00BF0BC7"/>
    <w:rsid w:val="00C94061"/>
    <w:rsid w:val="00D33004"/>
    <w:rsid w:val="00DA0C06"/>
    <w:rsid w:val="00DD7B58"/>
    <w:rsid w:val="00DE76F5"/>
    <w:rsid w:val="00E228F1"/>
    <w:rsid w:val="00EB0E20"/>
    <w:rsid w:val="00F13CC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895"/>
    <w:pPr>
      <w:spacing w:after="0" w:line="240" w:lineRule="auto"/>
    </w:pPr>
    <w:rPr>
      <w:rFonts w:ascii="Times New Roman" w:eastAsia="Times New Roman" w:hAnsi="Times New Roman" w:cs="Times New Roman"/>
      <w:kern w:val="0"/>
      <w:sz w:val="20"/>
      <w:szCs w:val="20"/>
      <w:lang w:val="ro-RO"/>
    </w:rPr>
  </w:style>
  <w:style w:type="paragraph" w:styleId="Heading1">
    <w:name w:val="heading 1"/>
    <w:basedOn w:val="Normal"/>
    <w:next w:val="Normal"/>
    <w:link w:val="Heading1Char"/>
    <w:uiPriority w:val="9"/>
    <w:qFormat/>
    <w:rsid w:val="00630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0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8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8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8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8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8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8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8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8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8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8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8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8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895"/>
    <w:rPr>
      <w:rFonts w:eastAsiaTheme="majorEastAsia" w:cstheme="majorBidi"/>
      <w:color w:val="272727" w:themeColor="text1" w:themeTint="D8"/>
    </w:rPr>
  </w:style>
  <w:style w:type="paragraph" w:styleId="Title">
    <w:name w:val="Title"/>
    <w:basedOn w:val="Normal"/>
    <w:next w:val="Normal"/>
    <w:link w:val="TitleChar"/>
    <w:uiPriority w:val="10"/>
    <w:qFormat/>
    <w:rsid w:val="006308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895"/>
    <w:pPr>
      <w:spacing w:before="160"/>
      <w:jc w:val="center"/>
    </w:pPr>
    <w:rPr>
      <w:i/>
      <w:iCs/>
      <w:color w:val="404040" w:themeColor="text1" w:themeTint="BF"/>
    </w:rPr>
  </w:style>
  <w:style w:type="character" w:customStyle="1" w:styleId="QuoteChar">
    <w:name w:val="Quote Char"/>
    <w:basedOn w:val="DefaultParagraphFont"/>
    <w:link w:val="Quote"/>
    <w:uiPriority w:val="29"/>
    <w:rsid w:val="00630895"/>
    <w:rPr>
      <w:i/>
      <w:iCs/>
      <w:color w:val="404040" w:themeColor="text1" w:themeTint="BF"/>
    </w:rPr>
  </w:style>
  <w:style w:type="paragraph" w:styleId="ListParagraph">
    <w:name w:val="List Paragraph"/>
    <w:aliases w:val="Forth level,lp1,Heading x1,Header bold,body 2,List Paragraph11,bullets,Normal bullet 2,Akapit z listą BS,Outlines a.b.c.,List_Paragraph,Multilevel para_II,Akapit z lista BS,Outlines a,b,c,Arial,Lettre d'introduction,List1,Paragraph,ANNEX"/>
    <w:basedOn w:val="Normal"/>
    <w:link w:val="ListParagraphChar"/>
    <w:uiPriority w:val="34"/>
    <w:qFormat/>
    <w:rsid w:val="00630895"/>
    <w:pPr>
      <w:ind w:left="720"/>
      <w:contextualSpacing/>
    </w:pPr>
  </w:style>
  <w:style w:type="character" w:styleId="IntenseEmphasis">
    <w:name w:val="Intense Emphasis"/>
    <w:basedOn w:val="DefaultParagraphFont"/>
    <w:uiPriority w:val="21"/>
    <w:qFormat/>
    <w:rsid w:val="00630895"/>
    <w:rPr>
      <w:i/>
      <w:iCs/>
      <w:color w:val="0F4761" w:themeColor="accent1" w:themeShade="BF"/>
    </w:rPr>
  </w:style>
  <w:style w:type="paragraph" w:styleId="IntenseQuote">
    <w:name w:val="Intense Quote"/>
    <w:basedOn w:val="Normal"/>
    <w:next w:val="Normal"/>
    <w:link w:val="IntenseQuoteChar"/>
    <w:uiPriority w:val="30"/>
    <w:qFormat/>
    <w:rsid w:val="00630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895"/>
    <w:rPr>
      <w:i/>
      <w:iCs/>
      <w:color w:val="0F4761" w:themeColor="accent1" w:themeShade="BF"/>
    </w:rPr>
  </w:style>
  <w:style w:type="character" w:styleId="IntenseReference">
    <w:name w:val="Intense Reference"/>
    <w:basedOn w:val="DefaultParagraphFont"/>
    <w:uiPriority w:val="32"/>
    <w:qFormat/>
    <w:rsid w:val="00630895"/>
    <w:rPr>
      <w:b/>
      <w:bCs/>
      <w:smallCaps/>
      <w:color w:val="0F4761" w:themeColor="accent1" w:themeShade="BF"/>
      <w:spacing w:val="5"/>
    </w:rPr>
  </w:style>
  <w:style w:type="paragraph" w:styleId="NormalWeb">
    <w:name w:val="Normal (Web)"/>
    <w:basedOn w:val="Normal"/>
    <w:uiPriority w:val="99"/>
    <w:unhideWhenUsed/>
    <w:rsid w:val="00630895"/>
    <w:pPr>
      <w:spacing w:before="100" w:beforeAutospacing="1" w:after="100" w:afterAutospacing="1"/>
    </w:pPr>
    <w:rPr>
      <w:sz w:val="24"/>
      <w:szCs w:val="24"/>
      <w:lang w:val="en-US"/>
    </w:rPr>
  </w:style>
  <w:style w:type="paragraph" w:styleId="NoSpacing">
    <w:name w:val="No Spacing"/>
    <w:link w:val="NoSpacingChar"/>
    <w:uiPriority w:val="1"/>
    <w:qFormat/>
    <w:rsid w:val="00311F16"/>
    <w:pPr>
      <w:suppressAutoHyphens/>
      <w:autoSpaceDN w:val="0"/>
      <w:spacing w:after="0" w:line="240" w:lineRule="auto"/>
      <w:textAlignment w:val="baseline"/>
    </w:pPr>
    <w:rPr>
      <w:rFonts w:ascii="Calibri" w:eastAsia="SimSun" w:hAnsi="Calibri" w:cs="F"/>
      <w:kern w:val="3"/>
      <w:lang w:val="ro-RO"/>
    </w:rPr>
  </w:style>
  <w:style w:type="character" w:customStyle="1" w:styleId="NoSpacingChar">
    <w:name w:val="No Spacing Char"/>
    <w:link w:val="NoSpacing"/>
    <w:uiPriority w:val="1"/>
    <w:locked/>
    <w:rsid w:val="00311F16"/>
    <w:rPr>
      <w:rFonts w:ascii="Calibri" w:eastAsia="SimSun" w:hAnsi="Calibri" w:cs="F"/>
      <w:kern w:val="3"/>
      <w:lang w:val="ro-RO"/>
    </w:rPr>
  </w:style>
  <w:style w:type="paragraph" w:customStyle="1" w:styleId="Aufzhlung2">
    <w:name w:val="Aufzählung 2"/>
    <w:basedOn w:val="Normal"/>
    <w:rsid w:val="00311F16"/>
    <w:pPr>
      <w:numPr>
        <w:numId w:val="3"/>
      </w:numPr>
      <w:tabs>
        <w:tab w:val="left" w:pos="567"/>
      </w:tabs>
      <w:spacing w:before="120" w:line="300" w:lineRule="atLeast"/>
      <w:jc w:val="both"/>
    </w:pPr>
    <w:rPr>
      <w:rFonts w:ascii="Arial" w:hAnsi="Arial"/>
      <w:sz w:val="24"/>
      <w:szCs w:val="24"/>
      <w:lang w:val="de-DE" w:eastAsia="de-DE"/>
    </w:rPr>
  </w:style>
  <w:style w:type="numbering" w:customStyle="1" w:styleId="1111116">
    <w:name w:val="1 / 1.1 / 1.1.16"/>
    <w:basedOn w:val="NoList"/>
    <w:rsid w:val="00311F16"/>
    <w:pPr>
      <w:numPr>
        <w:numId w:val="3"/>
      </w:numPr>
    </w:pPr>
  </w:style>
  <w:style w:type="paragraph" w:styleId="BalloonText">
    <w:name w:val="Balloon Text"/>
    <w:basedOn w:val="Normal"/>
    <w:link w:val="BalloonTextChar"/>
    <w:uiPriority w:val="99"/>
    <w:semiHidden/>
    <w:unhideWhenUsed/>
    <w:rsid w:val="009F4C25"/>
    <w:rPr>
      <w:rFonts w:ascii="Tahoma" w:hAnsi="Tahoma" w:cs="Tahoma"/>
      <w:sz w:val="16"/>
      <w:szCs w:val="16"/>
    </w:rPr>
  </w:style>
  <w:style w:type="character" w:customStyle="1" w:styleId="BalloonTextChar">
    <w:name w:val="Balloon Text Char"/>
    <w:basedOn w:val="DefaultParagraphFont"/>
    <w:link w:val="BalloonText"/>
    <w:uiPriority w:val="99"/>
    <w:semiHidden/>
    <w:rsid w:val="009F4C25"/>
    <w:rPr>
      <w:rFonts w:ascii="Tahoma" w:eastAsia="Times New Roman" w:hAnsi="Tahoma" w:cs="Tahoma"/>
      <w:kern w:val="0"/>
      <w:sz w:val="16"/>
      <w:szCs w:val="16"/>
      <w:lang w:val="ro-RO"/>
    </w:rPr>
  </w:style>
  <w:style w:type="character" w:customStyle="1" w:styleId="ListParagraphChar">
    <w:name w:val="List Paragraph Char"/>
    <w:aliases w:val="Forth level Char,lp1 Char,Heading x1 Char,Header bold Char,body 2 Char,List Paragraph11 Char,bullets Char,Normal bullet 2 Char,Akapit z listą BS Char,Outlines a.b.c. Char,List_Paragraph Char,Multilevel para_II Char,Outlines a Char"/>
    <w:link w:val="ListParagraph"/>
    <w:uiPriority w:val="34"/>
    <w:qFormat/>
    <w:locked/>
    <w:rsid w:val="00370E46"/>
    <w:rPr>
      <w:rFonts w:ascii="Times New Roman" w:eastAsia="Times New Roman" w:hAnsi="Times New Roman" w:cs="Times New Roman"/>
      <w:kern w:val="0"/>
      <w:sz w:val="20"/>
      <w:szCs w:val="20"/>
      <w:lang w:val="ro-RO"/>
    </w:rPr>
  </w:style>
  <w:style w:type="character" w:styleId="Strong">
    <w:name w:val="Strong"/>
    <w:basedOn w:val="DefaultParagraphFont"/>
    <w:uiPriority w:val="22"/>
    <w:qFormat/>
    <w:rsid w:val="00370E46"/>
    <w:rPr>
      <w:b/>
      <w:bCs/>
    </w:rPr>
  </w:style>
  <w:style w:type="paragraph" w:customStyle="1" w:styleId="Default">
    <w:name w:val="Default"/>
    <w:rsid w:val="00370E46"/>
    <w:pPr>
      <w:autoSpaceDE w:val="0"/>
      <w:autoSpaceDN w:val="0"/>
      <w:adjustRightInd w:val="0"/>
      <w:spacing w:after="0" w:line="240" w:lineRule="auto"/>
    </w:pPr>
    <w:rPr>
      <w:rFonts w:ascii="Trebuchet MS" w:eastAsiaTheme="minorEastAsia" w:hAnsi="Trebuchet MS" w:cs="Trebuchet MS"/>
      <w:color w:val="000000"/>
      <w:kern w:val="0"/>
      <w:sz w:val="24"/>
      <w:szCs w:val="24"/>
      <w:lang w:val="ro-RO"/>
    </w:rPr>
  </w:style>
  <w:style w:type="table" w:styleId="TableGrid">
    <w:name w:val="Table Grid"/>
    <w:aliases w:val="Table long document"/>
    <w:basedOn w:val="TableNormal"/>
    <w:uiPriority w:val="59"/>
    <w:rsid w:val="00370E46"/>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895"/>
    <w:pPr>
      <w:spacing w:after="0" w:line="240" w:lineRule="auto"/>
    </w:pPr>
    <w:rPr>
      <w:rFonts w:ascii="Times New Roman" w:eastAsia="Times New Roman" w:hAnsi="Times New Roman" w:cs="Times New Roman"/>
      <w:kern w:val="0"/>
      <w:sz w:val="20"/>
      <w:szCs w:val="20"/>
      <w:lang w:val="ro-RO"/>
      <w14:ligatures w14:val="none"/>
    </w:rPr>
  </w:style>
  <w:style w:type="paragraph" w:styleId="Titlu1">
    <w:name w:val="heading 1"/>
    <w:basedOn w:val="Normal"/>
    <w:next w:val="Normal"/>
    <w:link w:val="Titlu1Caracter"/>
    <w:uiPriority w:val="9"/>
    <w:qFormat/>
    <w:rsid w:val="00630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630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630895"/>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630895"/>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630895"/>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630895"/>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30895"/>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30895"/>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30895"/>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30895"/>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30895"/>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30895"/>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30895"/>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630895"/>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63089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3089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3089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30895"/>
    <w:rPr>
      <w:rFonts w:eastAsiaTheme="majorEastAsia" w:cstheme="majorBidi"/>
      <w:color w:val="272727" w:themeColor="text1" w:themeTint="D8"/>
    </w:rPr>
  </w:style>
  <w:style w:type="paragraph" w:styleId="Titlu">
    <w:name w:val="Title"/>
    <w:basedOn w:val="Normal"/>
    <w:next w:val="Normal"/>
    <w:link w:val="TitluCaracter"/>
    <w:uiPriority w:val="10"/>
    <w:qFormat/>
    <w:rsid w:val="00630895"/>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3089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3089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3089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3089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30895"/>
    <w:rPr>
      <w:i/>
      <w:iCs/>
      <w:color w:val="404040" w:themeColor="text1" w:themeTint="BF"/>
    </w:rPr>
  </w:style>
  <w:style w:type="paragraph" w:styleId="Listparagraf">
    <w:name w:val="List Paragraph"/>
    <w:basedOn w:val="Normal"/>
    <w:uiPriority w:val="34"/>
    <w:qFormat/>
    <w:rsid w:val="00630895"/>
    <w:pPr>
      <w:ind w:left="720"/>
      <w:contextualSpacing/>
    </w:pPr>
  </w:style>
  <w:style w:type="character" w:styleId="Accentuareintens">
    <w:name w:val="Intense Emphasis"/>
    <w:basedOn w:val="Fontdeparagrafimplicit"/>
    <w:uiPriority w:val="21"/>
    <w:qFormat/>
    <w:rsid w:val="00630895"/>
    <w:rPr>
      <w:i/>
      <w:iCs/>
      <w:color w:val="0F4761" w:themeColor="accent1" w:themeShade="BF"/>
    </w:rPr>
  </w:style>
  <w:style w:type="paragraph" w:styleId="Citatintens">
    <w:name w:val="Intense Quote"/>
    <w:basedOn w:val="Normal"/>
    <w:next w:val="Normal"/>
    <w:link w:val="CitatintensCaracter"/>
    <w:uiPriority w:val="30"/>
    <w:qFormat/>
    <w:rsid w:val="00630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30895"/>
    <w:rPr>
      <w:i/>
      <w:iCs/>
      <w:color w:val="0F4761" w:themeColor="accent1" w:themeShade="BF"/>
    </w:rPr>
  </w:style>
  <w:style w:type="character" w:styleId="Referireintens">
    <w:name w:val="Intense Reference"/>
    <w:basedOn w:val="Fontdeparagrafimplicit"/>
    <w:uiPriority w:val="32"/>
    <w:qFormat/>
    <w:rsid w:val="00630895"/>
    <w:rPr>
      <w:b/>
      <w:bCs/>
      <w:smallCaps/>
      <w:color w:val="0F4761" w:themeColor="accent1" w:themeShade="BF"/>
      <w:spacing w:val="5"/>
    </w:rPr>
  </w:style>
  <w:style w:type="paragraph" w:styleId="NormalWeb">
    <w:name w:val="Normal (Web)"/>
    <w:basedOn w:val="Normal"/>
    <w:uiPriority w:val="99"/>
    <w:unhideWhenUsed/>
    <w:rsid w:val="00630895"/>
    <w:pPr>
      <w:spacing w:before="100" w:beforeAutospacing="1" w:after="100" w:afterAutospacing="1"/>
    </w:pPr>
    <w:rPr>
      <w:sz w:val="24"/>
      <w:szCs w:val="24"/>
      <w:lang w:val="en-US"/>
    </w:rPr>
  </w:style>
  <w:style w:type="paragraph" w:styleId="Frspaiere">
    <w:name w:val="No Spacing"/>
    <w:link w:val="FrspaiereCaracter"/>
    <w:uiPriority w:val="1"/>
    <w:qFormat/>
    <w:rsid w:val="00311F16"/>
    <w:pPr>
      <w:suppressAutoHyphens/>
      <w:autoSpaceDN w:val="0"/>
      <w:spacing w:after="0" w:line="240" w:lineRule="auto"/>
      <w:textAlignment w:val="baseline"/>
    </w:pPr>
    <w:rPr>
      <w:rFonts w:ascii="Calibri" w:eastAsia="SimSun" w:hAnsi="Calibri" w:cs="F"/>
      <w:kern w:val="3"/>
      <w:lang w:val="ro-RO"/>
      <w14:ligatures w14:val="none"/>
    </w:rPr>
  </w:style>
  <w:style w:type="character" w:customStyle="1" w:styleId="FrspaiereCaracter">
    <w:name w:val="Fără spațiere Caracter"/>
    <w:link w:val="Frspaiere"/>
    <w:uiPriority w:val="1"/>
    <w:locked/>
    <w:rsid w:val="00311F16"/>
    <w:rPr>
      <w:rFonts w:ascii="Calibri" w:eastAsia="SimSun" w:hAnsi="Calibri" w:cs="F"/>
      <w:kern w:val="3"/>
      <w:lang w:val="ro-RO"/>
      <w14:ligatures w14:val="none"/>
    </w:rPr>
  </w:style>
  <w:style w:type="paragraph" w:customStyle="1" w:styleId="Aufzhlung2">
    <w:name w:val="Aufzählung 2"/>
    <w:basedOn w:val="Normal"/>
    <w:rsid w:val="00311F16"/>
    <w:pPr>
      <w:numPr>
        <w:numId w:val="3"/>
      </w:numPr>
      <w:tabs>
        <w:tab w:val="left" w:pos="567"/>
      </w:tabs>
      <w:spacing w:before="120" w:line="300" w:lineRule="atLeast"/>
      <w:jc w:val="both"/>
    </w:pPr>
    <w:rPr>
      <w:rFonts w:ascii="Arial" w:hAnsi="Arial"/>
      <w:sz w:val="24"/>
      <w:szCs w:val="24"/>
      <w:lang w:val="de-DE" w:eastAsia="de-DE"/>
    </w:rPr>
  </w:style>
  <w:style w:type="numbering" w:customStyle="1" w:styleId="1111116">
    <w:name w:val="1 / 1.1 / 1.1.16"/>
    <w:basedOn w:val="FrListare"/>
    <w:rsid w:val="00311F16"/>
    <w:pPr>
      <w:numPr>
        <w:numId w:val="3"/>
      </w:numPr>
    </w:pPr>
  </w:style>
  <w:style w:type="paragraph" w:styleId="TextnBalon">
    <w:name w:val="Balloon Text"/>
    <w:basedOn w:val="Normal"/>
    <w:link w:val="TextnBalonCaracter"/>
    <w:uiPriority w:val="99"/>
    <w:semiHidden/>
    <w:unhideWhenUsed/>
    <w:rsid w:val="009F4C2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F4C25"/>
    <w:rPr>
      <w:rFonts w:ascii="Tahoma" w:eastAsia="Times New Roman" w:hAnsi="Tahoma" w:cs="Tahoma"/>
      <w:kern w:val="0"/>
      <w:sz w:val="16"/>
      <w:szCs w:val="16"/>
      <w:lang w:val="ro-RO"/>
      <w14:ligatures w14: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AA82C-55AE-4504-A5FD-6E6E1E86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1615</Words>
  <Characters>9211</Characters>
  <Application>Microsoft Office Word</Application>
  <DocSecurity>0</DocSecurity>
  <Lines>76</Lines>
  <Paragraphs>21</Paragraphs>
  <ScaleCrop>false</ScaleCrop>
  <HeadingPairs>
    <vt:vector size="6" baseType="variant">
      <vt:variant>
        <vt:lpstr>Titlu</vt:lpstr>
      </vt:variant>
      <vt:variant>
        <vt:i4>1</vt:i4>
      </vt:variant>
      <vt:variant>
        <vt:lpstr>Titluri</vt:lpstr>
      </vt:variant>
      <vt:variant>
        <vt:i4>2</vt:i4>
      </vt:variant>
      <vt:variant>
        <vt:lpstr>Title</vt:lpstr>
      </vt:variant>
      <vt:variant>
        <vt:i4>1</vt:i4>
      </vt:variant>
    </vt:vector>
  </HeadingPairs>
  <TitlesOfParts>
    <vt:vector size="4" baseType="lpstr">
      <vt:lpstr/>
      <vt:lpstr>Durata minima de garantie, conform art. 7, alin.3 din Legea 10/1995 privind</vt:lpstr>
      <vt:lpstr>calitatea in constructii, in functie de categoria de importanta C (normala), sta</vt:lpstr>
      <vt:lpstr/>
    </vt:vector>
  </TitlesOfParts>
  <Company>Hewlett-Packard Company</Company>
  <LinksUpToDate>false</LinksUpToDate>
  <CharactersWithSpaces>10805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Panican</dc:creator>
  <cp:lastModifiedBy>sagaa</cp:lastModifiedBy>
  <cp:revision>29</cp:revision>
  <cp:lastPrinted>2025-01-08T10:49:00Z</cp:lastPrinted>
  <dcterms:created xsi:type="dcterms:W3CDTF">2024-11-18T07:00:00Z</dcterms:created>
  <dcterms:modified xsi:type="dcterms:W3CDTF">2026-05-28T20:23:00Z</dcterms:modified>
</cp:coreProperties>
</file>