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6911" w14:textId="77777777" w:rsidR="00FD24A2" w:rsidRPr="00FC3E99" w:rsidRDefault="00FD24A2" w:rsidP="00875D3E">
      <w:pPr>
        <w:spacing w:before="120" w:after="120" w:line="276" w:lineRule="auto"/>
        <w:ind w:left="1"/>
        <w:jc w:val="center"/>
        <w:rPr>
          <w:rFonts w:ascii="Times New Roman" w:hAnsi="Times New Roman" w:cs="Times New Roman"/>
          <w:b/>
          <w:sz w:val="24"/>
          <w:szCs w:val="24"/>
        </w:rPr>
      </w:pPr>
    </w:p>
    <w:p w14:paraId="6A92A5CD" w14:textId="23279C91" w:rsidR="00875D3E" w:rsidRPr="00FC3E99" w:rsidRDefault="0030653B" w:rsidP="00875D3E">
      <w:pPr>
        <w:spacing w:before="120" w:after="120" w:line="276" w:lineRule="auto"/>
        <w:ind w:left="1"/>
        <w:jc w:val="center"/>
        <w:rPr>
          <w:rFonts w:ascii="Times New Roman" w:hAnsi="Times New Roman" w:cs="Times New Roman"/>
          <w:b/>
          <w:sz w:val="24"/>
          <w:szCs w:val="24"/>
        </w:rPr>
      </w:pPr>
      <w:r w:rsidRPr="00FC3E99">
        <w:rPr>
          <w:rFonts w:ascii="Times New Roman" w:hAnsi="Times New Roman" w:cs="Times New Roman"/>
          <w:b/>
          <w:sz w:val="24"/>
          <w:szCs w:val="24"/>
        </w:rPr>
        <w:t xml:space="preserve">           </w:t>
      </w:r>
      <w:r w:rsidR="00B26621" w:rsidRPr="00FC3E99">
        <w:rPr>
          <w:rFonts w:ascii="Times New Roman" w:hAnsi="Times New Roman" w:cs="Times New Roman"/>
          <w:b/>
          <w:sz w:val="24"/>
          <w:szCs w:val="24"/>
        </w:rPr>
        <w:t xml:space="preserve">Sectiunea I - </w:t>
      </w:r>
      <w:r w:rsidR="00875D3E" w:rsidRPr="00FC3E99">
        <w:rPr>
          <w:rFonts w:ascii="Times New Roman" w:hAnsi="Times New Roman" w:cs="Times New Roman"/>
          <w:b/>
          <w:sz w:val="24"/>
          <w:szCs w:val="24"/>
        </w:rPr>
        <w:t>Instrucțiuni pentru ofertanți</w:t>
      </w:r>
    </w:p>
    <w:p w14:paraId="16EF9718" w14:textId="77777777" w:rsidR="006D066C" w:rsidRPr="00FC3E99" w:rsidRDefault="006D066C" w:rsidP="00875D3E">
      <w:pPr>
        <w:spacing w:before="120" w:after="120" w:line="276" w:lineRule="auto"/>
        <w:ind w:left="1"/>
        <w:jc w:val="center"/>
        <w:rPr>
          <w:rFonts w:ascii="Times New Roman" w:hAnsi="Times New Roman" w:cs="Times New Roman"/>
          <w:b/>
          <w:sz w:val="24"/>
          <w:szCs w:val="24"/>
        </w:rPr>
      </w:pPr>
    </w:p>
    <w:p w14:paraId="00844399" w14:textId="77777777" w:rsidR="006D066C" w:rsidRPr="00FC3E99" w:rsidRDefault="006D066C" w:rsidP="00875D3E">
      <w:pPr>
        <w:spacing w:before="120" w:after="120" w:line="276" w:lineRule="auto"/>
        <w:ind w:left="1"/>
        <w:jc w:val="center"/>
        <w:rPr>
          <w:rFonts w:ascii="Times New Roman" w:hAnsi="Times New Roman" w:cs="Times New Roman"/>
          <w:b/>
          <w:sz w:val="24"/>
          <w:szCs w:val="24"/>
        </w:rPr>
      </w:pPr>
    </w:p>
    <w:p w14:paraId="6E074882" w14:textId="77777777" w:rsidR="00FD24A2" w:rsidRPr="00FC3E99" w:rsidRDefault="006D066C" w:rsidP="00FD24A2">
      <w:pPr>
        <w:pStyle w:val="ListParagraph"/>
        <w:spacing w:after="0"/>
        <w:ind w:firstLine="284"/>
        <w:jc w:val="center"/>
        <w:rPr>
          <w:rFonts w:ascii="Times New Roman" w:hAnsi="Times New Roman" w:cs="Times New Roman"/>
          <w:b/>
          <w:sz w:val="24"/>
          <w:szCs w:val="24"/>
        </w:rPr>
      </w:pPr>
      <w:r w:rsidRPr="00FC3E99">
        <w:rPr>
          <w:rFonts w:ascii="Times New Roman" w:hAnsi="Times New Roman" w:cs="Times New Roman"/>
          <w:b/>
          <w:sz w:val="24"/>
          <w:szCs w:val="24"/>
        </w:rPr>
        <w:t xml:space="preserve">Obiectul achiziției: </w:t>
      </w:r>
      <w:r w:rsidR="00FD24A2" w:rsidRPr="00FC3E99">
        <w:rPr>
          <w:rFonts w:ascii="Times New Roman" w:hAnsi="Times New Roman" w:cs="Times New Roman"/>
          <w:b/>
          <w:sz w:val="24"/>
          <w:szCs w:val="24"/>
        </w:rPr>
        <w:t xml:space="preserve">SERVICII DE SUPERVIZARE </w:t>
      </w:r>
    </w:p>
    <w:p w14:paraId="3EB350D9" w14:textId="341AD7EC" w:rsidR="00FD24A2" w:rsidRPr="00FC3E99" w:rsidRDefault="006F262C" w:rsidP="00FD24A2">
      <w:pPr>
        <w:pStyle w:val="ListParagraph"/>
        <w:spacing w:after="0"/>
        <w:ind w:firstLine="284"/>
        <w:jc w:val="center"/>
        <w:rPr>
          <w:rFonts w:ascii="Times New Roman" w:hAnsi="Times New Roman" w:cs="Times New Roman"/>
          <w:b/>
          <w:sz w:val="24"/>
          <w:szCs w:val="24"/>
        </w:rPr>
      </w:pPr>
      <w:r w:rsidRPr="00FC3E99">
        <w:rPr>
          <w:rFonts w:ascii="Times New Roman" w:hAnsi="Times New Roman" w:cs="Times New Roman"/>
          <w:b/>
          <w:sz w:val="24"/>
          <w:szCs w:val="24"/>
        </w:rPr>
        <w:t xml:space="preserve"> </w:t>
      </w:r>
    </w:p>
    <w:p w14:paraId="44C23710" w14:textId="0ADA11FD" w:rsidR="006F262C" w:rsidRPr="00FC3E99" w:rsidRDefault="006F262C" w:rsidP="00FD24A2">
      <w:pPr>
        <w:pStyle w:val="ListParagraph"/>
        <w:spacing w:after="0"/>
        <w:ind w:firstLine="284"/>
        <w:jc w:val="center"/>
        <w:rPr>
          <w:rFonts w:ascii="Times New Roman" w:hAnsi="Times New Roman" w:cs="Times New Roman"/>
          <w:b/>
          <w:sz w:val="24"/>
          <w:szCs w:val="24"/>
        </w:rPr>
      </w:pPr>
      <w:r w:rsidRPr="00FC3E99">
        <w:rPr>
          <w:rFonts w:ascii="Times New Roman" w:hAnsi="Times New Roman" w:cs="Times New Roman"/>
          <w:b/>
          <w:sz w:val="24"/>
          <w:szCs w:val="24"/>
        </w:rPr>
        <w:t>pentru obiectivul  «Acord cadru avand ca obiect proiectare (inclusiv asistenta tehnica) si executie lucrari pentru „Reabilitarea termica a caminelor P2-P12 din Complex Studentesc Regie”», din – Splaiul Independentei, nr. 290, sector 6, Bucuresti;</w:t>
      </w:r>
    </w:p>
    <w:p w14:paraId="4271532F" w14:textId="77777777" w:rsidR="006F262C" w:rsidRPr="00FC3E99" w:rsidRDefault="006F262C" w:rsidP="00FD24A2">
      <w:pPr>
        <w:pStyle w:val="ListParagraph"/>
        <w:spacing w:after="0"/>
        <w:ind w:firstLine="284"/>
        <w:jc w:val="center"/>
        <w:rPr>
          <w:rFonts w:ascii="Times New Roman" w:hAnsi="Times New Roman" w:cs="Times New Roman"/>
          <w:sz w:val="24"/>
          <w:szCs w:val="24"/>
        </w:rPr>
      </w:pPr>
    </w:p>
    <w:p w14:paraId="025ECD98" w14:textId="77777777" w:rsidR="00875D3E" w:rsidRPr="00FC3E99" w:rsidRDefault="00875D3E" w:rsidP="00453D29">
      <w:pPr>
        <w:pStyle w:val="ListParagraph"/>
        <w:numPr>
          <w:ilvl w:val="0"/>
          <w:numId w:val="11"/>
        </w:numPr>
        <w:spacing w:before="120" w:after="120" w:line="276" w:lineRule="auto"/>
        <w:ind w:left="0" w:firstLine="0"/>
        <w:contextualSpacing w:val="0"/>
        <w:rPr>
          <w:rFonts w:ascii="Times New Roman" w:hAnsi="Times New Roman" w:cs="Times New Roman"/>
          <w:b/>
          <w:sz w:val="24"/>
          <w:szCs w:val="24"/>
        </w:rPr>
      </w:pPr>
      <w:r w:rsidRPr="00FC3E99">
        <w:rPr>
          <w:rFonts w:ascii="Times New Roman" w:hAnsi="Times New Roman" w:cs="Times New Roman"/>
          <w:b/>
          <w:sz w:val="24"/>
          <w:szCs w:val="24"/>
        </w:rPr>
        <w:t>INSTRUCȚIUNI PRIVIND GARANȚIILE SOLICITATE</w:t>
      </w:r>
    </w:p>
    <w:p w14:paraId="0A01EC5B" w14:textId="77777777" w:rsidR="00875D3E" w:rsidRPr="00FC3E99" w:rsidRDefault="00875D3E" w:rsidP="00453D29">
      <w:pPr>
        <w:pStyle w:val="ListParagraph"/>
        <w:numPr>
          <w:ilvl w:val="0"/>
          <w:numId w:val="10"/>
        </w:numPr>
        <w:spacing w:before="120" w:after="120"/>
        <w:ind w:left="0" w:firstLine="0"/>
        <w:contextualSpacing w:val="0"/>
        <w:rPr>
          <w:rFonts w:ascii="Times New Roman" w:hAnsi="Times New Roman" w:cs="Times New Roman"/>
          <w:b/>
          <w:sz w:val="24"/>
          <w:szCs w:val="24"/>
        </w:rPr>
      </w:pPr>
      <w:r w:rsidRPr="00FC3E99">
        <w:rPr>
          <w:rFonts w:ascii="Times New Roman" w:hAnsi="Times New Roman" w:cs="Times New Roman"/>
          <w:b/>
          <w:sz w:val="24"/>
          <w:szCs w:val="24"/>
        </w:rPr>
        <w:t>Garanția de participare</w:t>
      </w:r>
    </w:p>
    <w:p w14:paraId="61B58F88" w14:textId="52E2C41B" w:rsidR="00DE0893" w:rsidRPr="00FC3E99" w:rsidRDefault="00DE0893" w:rsidP="00DE0893">
      <w:pPr>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xml:space="preserve">Perioada de valabilitate a garantiei pentru participare: </w:t>
      </w:r>
      <w:r w:rsidRPr="00FC3E99">
        <w:rPr>
          <w:rFonts w:ascii="Times New Roman" w:hAnsi="Times New Roman" w:cs="Times New Roman"/>
          <w:b/>
          <w:bCs/>
          <w:i/>
          <w:iCs/>
          <w:sz w:val="24"/>
          <w:szCs w:val="24"/>
          <w:lang w:val="pt-PT"/>
        </w:rPr>
        <w:t>6 luni</w:t>
      </w:r>
      <w:r w:rsidRPr="00FC3E99">
        <w:rPr>
          <w:rFonts w:ascii="Times New Roman" w:hAnsi="Times New Roman" w:cs="Times New Roman"/>
          <w:i/>
          <w:iCs/>
          <w:sz w:val="24"/>
          <w:szCs w:val="24"/>
          <w:lang w:val="pt-PT"/>
        </w:rPr>
        <w:t xml:space="preserve"> de la termenul limita de depunere a ofertei. Modul de constituire a garantiei de participare - Garantia de participare se constituie conform prevederilor art. 154 din Legea nr. 98/2016 cu modificarile si completarile ulterioare. Contul „Universitatea Nationala de Stiinta si Tehnologie Politehnica Bucuresti” – CUI 48467613 in care se depune garantia pentru participare: RO61TREZ7005005XXX015750, deschis la Activitatea de Trezorerie si Contabilitate Publica a Municipiului Bucuresti (ATCPMB). Garantia de participare trebuie să fie irevocabilă si neconditionata si se depune in SEAP, semnata electronic, cel mai târziu la data si ora limita stabilita pentru depunerea ofertelor, confom art. 154 din Legea nr. 98/2016, cu clarificarea eventualelor neconcordante privind forma, cuantumul si valabilitatea garantiei de participare, in maxim 3 zile lucratoare de la data limita de depunere a ofertelor, conform art. 132, pct. 3 din H.G. nr. 395/2016 cu modificările și completările ulterioare. Echivalenta leu/alta valuta se face tinand cont de cursul BNR din ziua publicarii anuntului de participare.</w:t>
      </w:r>
    </w:p>
    <w:p w14:paraId="0D502CD3" w14:textId="77777777" w:rsidR="00DE0893" w:rsidRPr="00FC3E99" w:rsidRDefault="00DE0893" w:rsidP="00DE0893">
      <w:pPr>
        <w:jc w:val="both"/>
        <w:rPr>
          <w:rFonts w:ascii="Times New Roman" w:hAnsi="Times New Roman" w:cs="Times New Roman"/>
          <w:b/>
          <w:bCs/>
          <w:i/>
          <w:iCs/>
          <w:sz w:val="24"/>
          <w:szCs w:val="24"/>
          <w:lang w:val="pt-PT"/>
        </w:rPr>
      </w:pPr>
      <w:r w:rsidRPr="00FC3E99">
        <w:rPr>
          <w:rFonts w:ascii="Times New Roman" w:hAnsi="Times New Roman" w:cs="Times New Roman"/>
          <w:i/>
          <w:iCs/>
          <w:sz w:val="24"/>
          <w:szCs w:val="24"/>
          <w:lang w:val="pt-PT"/>
        </w:rPr>
        <w:t>Perioada de valabilitate a garantiei de participare trebuie sa fie cel putin egala cu perioada de valabilitate a ofertei, respectiv</w:t>
      </w:r>
      <w:r w:rsidRPr="00FC3E99">
        <w:rPr>
          <w:rFonts w:ascii="Times New Roman" w:hAnsi="Times New Roman" w:cs="Times New Roman"/>
          <w:b/>
          <w:bCs/>
          <w:i/>
          <w:iCs/>
          <w:sz w:val="24"/>
          <w:szCs w:val="24"/>
          <w:lang w:val="pt-PT"/>
        </w:rPr>
        <w:t xml:space="preserve"> 6 luni.</w:t>
      </w:r>
    </w:p>
    <w:p w14:paraId="359E61D8" w14:textId="7C8F848E" w:rsidR="0046426B" w:rsidRPr="00FC3E99" w:rsidRDefault="0046426B" w:rsidP="00F25E67">
      <w:pPr>
        <w:jc w:val="both"/>
        <w:rPr>
          <w:rFonts w:ascii="Times New Roman" w:hAnsi="Times New Roman" w:cs="Times New Roman"/>
          <w:b/>
          <w:bCs/>
          <w:i/>
          <w:iCs/>
          <w:sz w:val="24"/>
          <w:szCs w:val="24"/>
          <w:lang w:val="pt-PT"/>
        </w:rPr>
      </w:pPr>
      <w:r w:rsidRPr="00FC3E99">
        <w:rPr>
          <w:rFonts w:ascii="Times New Roman" w:hAnsi="Times New Roman" w:cs="Times New Roman"/>
          <w:b/>
          <w:bCs/>
          <w:i/>
          <w:iCs/>
          <w:sz w:val="24"/>
          <w:szCs w:val="24"/>
          <w:lang w:val="pt-PT"/>
        </w:rPr>
        <w:t xml:space="preserve">Garanția de participare pentru participarea la </w:t>
      </w:r>
      <w:r w:rsidR="00F25E67" w:rsidRPr="00FC3E99">
        <w:rPr>
          <w:rFonts w:ascii="Times New Roman" w:hAnsi="Times New Roman" w:cs="Times New Roman"/>
          <w:b/>
          <w:bCs/>
          <w:i/>
          <w:iCs/>
          <w:sz w:val="24"/>
          <w:szCs w:val="24"/>
          <w:lang w:val="pt-PT"/>
        </w:rPr>
        <w:t>prezenta procedură</w:t>
      </w:r>
      <w:r w:rsidRPr="00FC3E99">
        <w:rPr>
          <w:rFonts w:ascii="Times New Roman" w:hAnsi="Times New Roman" w:cs="Times New Roman"/>
          <w:b/>
          <w:bCs/>
          <w:i/>
          <w:iCs/>
          <w:sz w:val="24"/>
          <w:szCs w:val="24"/>
          <w:lang w:val="pt-PT"/>
        </w:rPr>
        <w:t xml:space="preserve"> este </w:t>
      </w:r>
      <w:r w:rsidR="00F25E67" w:rsidRPr="00FC3E99">
        <w:rPr>
          <w:rFonts w:ascii="Times New Roman" w:hAnsi="Times New Roman" w:cs="Times New Roman"/>
          <w:b/>
          <w:bCs/>
          <w:i/>
          <w:iCs/>
          <w:sz w:val="24"/>
          <w:szCs w:val="24"/>
          <w:lang w:val="pt-PT"/>
        </w:rPr>
        <w:t>î</w:t>
      </w:r>
      <w:r w:rsidRPr="00FC3E99">
        <w:rPr>
          <w:rFonts w:ascii="Times New Roman" w:hAnsi="Times New Roman" w:cs="Times New Roman"/>
          <w:b/>
          <w:bCs/>
          <w:i/>
          <w:iCs/>
          <w:sz w:val="24"/>
          <w:szCs w:val="24"/>
          <w:lang w:val="pt-PT"/>
        </w:rPr>
        <w:t xml:space="preserve">n valoare de </w:t>
      </w:r>
      <w:r w:rsidR="006F262C" w:rsidRPr="00FC3E99">
        <w:rPr>
          <w:rFonts w:ascii="Times New Roman" w:hAnsi="Times New Roman" w:cs="Times New Roman"/>
          <w:b/>
          <w:bCs/>
          <w:i/>
          <w:iCs/>
          <w:sz w:val="24"/>
          <w:szCs w:val="24"/>
          <w:lang w:val="pt-PT"/>
        </w:rPr>
        <w:t>3.450,00</w:t>
      </w:r>
      <w:r w:rsidRPr="00FC3E99">
        <w:rPr>
          <w:rFonts w:ascii="Times New Roman" w:hAnsi="Times New Roman" w:cs="Times New Roman"/>
          <w:b/>
          <w:bCs/>
          <w:i/>
          <w:iCs/>
          <w:sz w:val="24"/>
          <w:szCs w:val="24"/>
          <w:lang w:val="pt-PT"/>
        </w:rPr>
        <w:t xml:space="preserve"> lei</w:t>
      </w:r>
      <w:r w:rsidR="00F25E67" w:rsidRPr="00FC3E99">
        <w:rPr>
          <w:rFonts w:ascii="Times New Roman" w:hAnsi="Times New Roman" w:cs="Times New Roman"/>
          <w:b/>
          <w:bCs/>
          <w:i/>
          <w:iCs/>
          <w:sz w:val="24"/>
          <w:szCs w:val="24"/>
          <w:lang w:val="pt-PT"/>
        </w:rPr>
        <w:t>.</w:t>
      </w:r>
    </w:p>
    <w:p w14:paraId="08B4836B" w14:textId="77777777" w:rsidR="00DE0893" w:rsidRPr="00FC3E99" w:rsidRDefault="00DE0893" w:rsidP="00DE0893">
      <w:pPr>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In cazul in care ofertele depuse nu sunt insotite de garantia de participare sau aceasta nu se prezinta in forma solicitata, autoritatea contractanta va avea in vedere art. 209 din Legea Nr.98/2016, cu modificarile si completarile ulterioare, coroborat cu art. 132 alin.(3) din HG Nr.395/2016 cu modificările și completările ulterioare.</w:t>
      </w:r>
    </w:p>
    <w:p w14:paraId="102266FB"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 xml:space="preserve">Garanția de participare se constituie prin virament bancar sau printr-un instrument de garantare emis de o instituție de credit din România sau din alt stat sau de o societate de asigurări, în condițiile legii. Garanția de </w:t>
      </w:r>
      <w:r w:rsidRPr="00FC3E99">
        <w:rPr>
          <w:rFonts w:ascii="Times New Roman" w:hAnsi="Times New Roman" w:cs="Times New Roman"/>
          <w:sz w:val="24"/>
          <w:szCs w:val="24"/>
        </w:rPr>
        <w:lastRenderedPageBreak/>
        <w:t>participare trebuie să fie irevocabilă și să fie constituită în suma și pentru perioada de valabilitate prevăzute în documentația de atribuire.</w:t>
      </w:r>
    </w:p>
    <w:p w14:paraId="12D56D20"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 contractante, pe baza declarației acestuia cu privire la culpa persoanei garantate.</w:t>
      </w:r>
    </w:p>
    <w:p w14:paraId="20C8121C"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În cazul participării în comun la procedura de atribuire, garanția de participare trebuie constituită în numele asocierii și să menționeze că acoperă în mod solidar toți membrii grupului de operatori economici.</w:t>
      </w:r>
    </w:p>
    <w:p w14:paraId="366B7977"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541F9409"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Garanția de participare, constituită de ofertantul a cărui ofertă a fost stabilită ca fiind câştigătoare, se returnează de către autoritatea contractantă în cel mult 3 zile lucrătoare de la data constituirii garanției de bună execuție în conformitate cu art. 154^1 din Legea nr. 98/2016 cu modificările și completările ulterioare. Garanția de participare, constituită de ofertanții a căror ofertă nu a fost stabilită câștigătoare, se restituie de către autoritatea contractantă după semnarea contractului de achiziție publică cu ofertantul a cărui ofertă a fost desemnată câștigătoare, dar nu mai târziu de 3 zile lucrătoare de la data semnării contractului de achiziție publică cu ofertantul declarat câștigător.</w:t>
      </w:r>
    </w:p>
    <w:p w14:paraId="5A7EF3E3"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535F2467" w14:textId="77777777" w:rsidR="00DE0893" w:rsidRPr="00FC3E99" w:rsidRDefault="00DE0893" w:rsidP="00DE0893">
      <w:pPr>
        <w:spacing w:before="120" w:after="120" w:line="276" w:lineRule="auto"/>
        <w:jc w:val="both"/>
        <w:rPr>
          <w:rFonts w:ascii="Times New Roman" w:hAnsi="Times New Roman" w:cs="Times New Roman"/>
          <w:sz w:val="24"/>
          <w:szCs w:val="24"/>
        </w:rPr>
      </w:pPr>
      <w:r w:rsidRPr="00FC3E99">
        <w:rPr>
          <w:rFonts w:ascii="Times New Roman" w:hAnsi="Times New Roman" w:cs="Times New Roman"/>
          <w:sz w:val="24"/>
          <w:szCs w:val="24"/>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p w14:paraId="04047490" w14:textId="77777777" w:rsidR="00DE0893" w:rsidRPr="00FC3E99" w:rsidRDefault="00DE0893" w:rsidP="00DE0893">
      <w:pPr>
        <w:spacing w:after="0" w:line="276" w:lineRule="auto"/>
        <w:jc w:val="both"/>
        <w:rPr>
          <w:rFonts w:ascii="Times New Roman" w:hAnsi="Times New Roman" w:cs="Times New Roman"/>
          <w:sz w:val="24"/>
          <w:szCs w:val="24"/>
        </w:rPr>
      </w:pPr>
      <w:r w:rsidRPr="00FC3E99">
        <w:rPr>
          <w:rFonts w:ascii="Times New Roman" w:hAnsi="Times New Roman" w:cs="Times New Roman"/>
          <w:sz w:val="24"/>
          <w:szCs w:val="24"/>
        </w:rPr>
        <w:t>Autoritatea contractantă are obligaţia de a reţine garanţia de participare atunci când ofertantul se află în oricare dintre următoarele situaţii:</w:t>
      </w:r>
    </w:p>
    <w:p w14:paraId="39F8766E" w14:textId="77777777" w:rsidR="00DE0893" w:rsidRPr="00FC3E99" w:rsidRDefault="00DE0893" w:rsidP="00DE0893">
      <w:pPr>
        <w:spacing w:after="0" w:line="276" w:lineRule="auto"/>
        <w:jc w:val="both"/>
        <w:rPr>
          <w:rFonts w:ascii="Times New Roman" w:hAnsi="Times New Roman" w:cs="Times New Roman"/>
          <w:sz w:val="24"/>
          <w:szCs w:val="24"/>
        </w:rPr>
      </w:pPr>
      <w:r w:rsidRPr="00FC3E99">
        <w:rPr>
          <w:rFonts w:ascii="Times New Roman" w:hAnsi="Times New Roman" w:cs="Times New Roman"/>
          <w:sz w:val="24"/>
          <w:szCs w:val="24"/>
        </w:rPr>
        <w:t xml:space="preserve">    a) îşi retrage oferta în perioada de valabilitate a acesteia;</w:t>
      </w:r>
    </w:p>
    <w:p w14:paraId="0BE423B2" w14:textId="77777777" w:rsidR="00DE0893" w:rsidRPr="00FC3E99" w:rsidRDefault="00DE0893" w:rsidP="00DE0893">
      <w:pPr>
        <w:spacing w:after="0" w:line="276" w:lineRule="auto"/>
        <w:jc w:val="both"/>
        <w:rPr>
          <w:rFonts w:ascii="Times New Roman" w:hAnsi="Times New Roman" w:cs="Times New Roman"/>
          <w:sz w:val="24"/>
          <w:szCs w:val="24"/>
        </w:rPr>
      </w:pPr>
      <w:r w:rsidRPr="00FC3E99">
        <w:rPr>
          <w:rFonts w:ascii="Times New Roman" w:hAnsi="Times New Roman" w:cs="Times New Roman"/>
          <w:sz w:val="24"/>
          <w:szCs w:val="24"/>
        </w:rPr>
        <w:t xml:space="preserve">    b) oferta sa fiind stabilită câştigătoare, nu constituie garanţia de bună execuţie;</w:t>
      </w:r>
    </w:p>
    <w:p w14:paraId="4A3A0CF3" w14:textId="77777777" w:rsidR="00DE0893" w:rsidRPr="00FC3E99" w:rsidRDefault="00DE0893" w:rsidP="00DE0893">
      <w:pPr>
        <w:spacing w:after="0" w:line="276" w:lineRule="auto"/>
        <w:jc w:val="both"/>
        <w:rPr>
          <w:rFonts w:ascii="Times New Roman" w:hAnsi="Times New Roman" w:cs="Times New Roman"/>
          <w:sz w:val="24"/>
          <w:szCs w:val="24"/>
        </w:rPr>
      </w:pPr>
      <w:r w:rsidRPr="00FC3E99">
        <w:rPr>
          <w:rFonts w:ascii="Times New Roman" w:hAnsi="Times New Roman" w:cs="Times New Roman"/>
          <w:sz w:val="24"/>
          <w:szCs w:val="24"/>
        </w:rPr>
        <w:t xml:space="preserve">    c) oferta sa fiind stabilită câştigătoare, refuză să semneze contractul de achiziţie publică în perioada de valabilitate a ofertei.</w:t>
      </w:r>
    </w:p>
    <w:p w14:paraId="300FA357" w14:textId="77777777" w:rsidR="00DE0893" w:rsidRPr="00FC3E99" w:rsidRDefault="00DE0893" w:rsidP="00DE0893">
      <w:pPr>
        <w:spacing w:after="0" w:line="276" w:lineRule="auto"/>
        <w:jc w:val="both"/>
        <w:rPr>
          <w:rFonts w:ascii="Times New Roman" w:hAnsi="Times New Roman" w:cs="Times New Roman"/>
          <w:sz w:val="24"/>
          <w:szCs w:val="24"/>
        </w:rPr>
      </w:pPr>
    </w:p>
    <w:p w14:paraId="62FA0B02" w14:textId="4AB44872" w:rsidR="00DE0893" w:rsidRPr="00FC3E99" w:rsidRDefault="00DE0893" w:rsidP="00DE0893">
      <w:pPr>
        <w:spacing w:after="0" w:line="276" w:lineRule="auto"/>
        <w:jc w:val="both"/>
        <w:rPr>
          <w:rFonts w:ascii="Times New Roman" w:hAnsi="Times New Roman" w:cs="Times New Roman"/>
          <w:sz w:val="24"/>
          <w:szCs w:val="24"/>
        </w:rPr>
      </w:pPr>
      <w:r w:rsidRPr="00FC3E99">
        <w:rPr>
          <w:rFonts w:ascii="Times New Roman" w:hAnsi="Times New Roman" w:cs="Times New Roman"/>
          <w:sz w:val="24"/>
          <w:szCs w:val="24"/>
        </w:rPr>
        <w:lastRenderedPageBreak/>
        <w:t xml:space="preserve">In cazul in care ofertele depuse nu sunt insotite de Garantia de Participare sau aceasta nu se prezinta in forma solicitata, </w:t>
      </w:r>
      <w:r w:rsidR="00250B08" w:rsidRPr="00FC3E99">
        <w:rPr>
          <w:rFonts w:ascii="Times New Roman" w:hAnsi="Times New Roman" w:cs="Times New Roman"/>
          <w:sz w:val="24"/>
          <w:szCs w:val="24"/>
        </w:rPr>
        <w:t>Politehnica Bucuresti</w:t>
      </w:r>
      <w:r w:rsidRPr="00FC3E99">
        <w:rPr>
          <w:rFonts w:ascii="Times New Roman" w:hAnsi="Times New Roman" w:cs="Times New Roman"/>
          <w:sz w:val="24"/>
          <w:szCs w:val="24"/>
        </w:rPr>
        <w:t xml:space="preserve"> va avea in vedere art. 209 din Legea Nr.98/2016, cu modificarile si completarile ulterioare, coroborat.cu art.132 alin. (3) din HG.Nr. 395/2016.</w:t>
      </w:r>
    </w:p>
    <w:p w14:paraId="5F3CAB9E" w14:textId="46345BE1" w:rsidR="00985906" w:rsidRPr="00FC3E99" w:rsidRDefault="00985906" w:rsidP="00DE0893">
      <w:pPr>
        <w:jc w:val="both"/>
        <w:rPr>
          <w:rFonts w:ascii="Times New Roman" w:hAnsi="Times New Roman" w:cs="Times New Roman"/>
          <w:sz w:val="24"/>
          <w:szCs w:val="24"/>
        </w:rPr>
      </w:pPr>
    </w:p>
    <w:p w14:paraId="13B9CE64" w14:textId="77777777" w:rsidR="00B26621" w:rsidRPr="00FC3E99" w:rsidRDefault="00B26621" w:rsidP="00B26621">
      <w:pPr>
        <w:pStyle w:val="ListParagraph"/>
        <w:numPr>
          <w:ilvl w:val="0"/>
          <w:numId w:val="10"/>
        </w:numPr>
        <w:spacing w:after="0" w:line="276" w:lineRule="auto"/>
        <w:ind w:left="0" w:firstLine="0"/>
        <w:rPr>
          <w:rFonts w:ascii="Times New Roman" w:hAnsi="Times New Roman" w:cs="Times New Roman"/>
          <w:b/>
          <w:sz w:val="24"/>
          <w:szCs w:val="24"/>
        </w:rPr>
      </w:pPr>
      <w:r w:rsidRPr="00FC3E99">
        <w:rPr>
          <w:rFonts w:ascii="Times New Roman" w:hAnsi="Times New Roman" w:cs="Times New Roman"/>
          <w:b/>
          <w:sz w:val="24"/>
          <w:szCs w:val="24"/>
        </w:rPr>
        <w:t>Garanția de bună execuție</w:t>
      </w:r>
    </w:p>
    <w:p w14:paraId="5A2F91CB"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Cuantumul garantiei de buna executie: 10 % din valoarea contractului fara TVA -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in conformitate cu art. 39 alin.(3) din H.G. Nr. 395/2016 cu modificările și completările ulterioare.</w:t>
      </w:r>
    </w:p>
    <w:p w14:paraId="6DF8ECD0"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xml:space="preserve">In cazul in care furnizorul nu constituie garantia de buna executie conform legii, contractul este reziliat de drept. </w:t>
      </w:r>
    </w:p>
    <w:p w14:paraId="01A1E020"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xml:space="preserve">Modul de constituire a garantiei: </w:t>
      </w:r>
    </w:p>
    <w:p w14:paraId="3A1FE924"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a) virament bancar;</w:t>
      </w:r>
    </w:p>
    <w:p w14:paraId="753FE8C9"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b) instrumente de garantare emise în condiţiile legii astfel:</w:t>
      </w:r>
    </w:p>
    <w:p w14:paraId="2FD2631A"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(i)scrisori de garanţie emise de instituţii de credit bancare din România sau din alt stat;</w:t>
      </w:r>
    </w:p>
    <w:p w14:paraId="3530AE7E"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7A2EDA5"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(iii)asigurări de garanţii emise:</w:t>
      </w:r>
    </w:p>
    <w:p w14:paraId="30838C90"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B43DF0"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fie de societăţi de asigurare din state terţe prin sucursale autorizate în România de către Autoritatea de</w:t>
      </w:r>
    </w:p>
    <w:p w14:paraId="3AB900EC"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Supraveghere Financiară;</w:t>
      </w:r>
    </w:p>
    <w:p w14:paraId="66652451"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c) depunerea la casierie a unor sume în numerar dacă valoarea este mai mică de 5.000 lei;</w:t>
      </w:r>
    </w:p>
    <w:p w14:paraId="512F154F"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d) reţineri succesive din sumele datorate pentru facturi parţiale;</w:t>
      </w:r>
    </w:p>
    <w:p w14:paraId="16516865"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e) combinarea a două sau mai multe dintre modalităţile de constituire prevăzute la lit. a)-c), în cazul garanţiei de bună execuţie.</w:t>
      </w:r>
    </w:p>
    <w:p w14:paraId="4C1EA55C"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 xml:space="preserve">Conditiile de retinere a garantiei de buna executie: -Garantia de buna executie se retine conform prevederilor art. 41 din HG 395/2016: Achizitorul  are dreptul de a emite pretenţii asupra garanţiei de bună execuţie, oricând pe parcursul îndeplinirii contractului de achiziţie publică/contractului subsecvent, în limita prejudiciului creat, în cazul în care contractantul nu îşi îndeplineşte din culpa sa obligaţiile asumate prin contract. Anterior emiterii unei pretenţii asupra garanţiei de bună execuţie autoritatea contractantă </w:t>
      </w:r>
      <w:r w:rsidRPr="00FC3E99">
        <w:rPr>
          <w:rFonts w:ascii="Times New Roman" w:hAnsi="Times New Roman" w:cs="Times New Roman"/>
          <w:i/>
          <w:iCs/>
          <w:sz w:val="24"/>
          <w:szCs w:val="24"/>
          <w:lang w:val="pt-PT"/>
        </w:rPr>
        <w:lastRenderedPageBreak/>
        <w:t>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4EBA9CE1"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i/>
          <w:iCs/>
          <w:sz w:val="24"/>
          <w:szCs w:val="24"/>
          <w:lang w:val="pt-PT"/>
        </w:rPr>
      </w:pPr>
      <w:r w:rsidRPr="00FC3E99">
        <w:rPr>
          <w:rFonts w:ascii="Times New Roman" w:hAnsi="Times New Roman" w:cs="Times New Roman"/>
          <w:i/>
          <w:iCs/>
          <w:sz w:val="24"/>
          <w:szCs w:val="24"/>
          <w:lang w:val="pt-PT"/>
        </w:rPr>
        <w:t>Conditiile de restituire a garantiei de buna executie: -Garantia de buna executie se restituie conform prevederilor art. 154^2 din Legea nr. 98/2016 cu modificările și completările ulterioare.</w:t>
      </w:r>
    </w:p>
    <w:p w14:paraId="68213123" w14:textId="77777777" w:rsidR="00B26621" w:rsidRPr="00FC3E99" w:rsidRDefault="00B26621" w:rsidP="00B26621">
      <w:pPr>
        <w:spacing w:after="0" w:line="276" w:lineRule="auto"/>
        <w:contextualSpacing/>
        <w:jc w:val="both"/>
        <w:rPr>
          <w:rFonts w:ascii="Times New Roman" w:hAnsi="Times New Roman" w:cs="Times New Roman"/>
          <w:sz w:val="24"/>
          <w:szCs w:val="24"/>
        </w:rPr>
      </w:pPr>
      <w:r w:rsidRPr="00FC3E99">
        <w:rPr>
          <w:rFonts w:ascii="Times New Roman" w:hAnsi="Times New Roman" w:cs="Times New Roman"/>
          <w:sz w:val="24"/>
          <w:szCs w:val="24"/>
        </w:rPr>
        <w:t xml:space="preserve">Garanţia de bună execuţie a contractului se constituie de către contractant în scopul asigurării autorităţii contractante de îndeplinirea cantitativă, calitativă şi în perioada convenită a contractului de achiziţie publică. </w:t>
      </w:r>
    </w:p>
    <w:p w14:paraId="5C66FDE7" w14:textId="77777777" w:rsidR="00B26621" w:rsidRPr="00FC3E99" w:rsidRDefault="00B26621" w:rsidP="00B26621">
      <w:pPr>
        <w:spacing w:after="0" w:line="276" w:lineRule="auto"/>
        <w:contextualSpacing/>
        <w:jc w:val="both"/>
        <w:rPr>
          <w:rFonts w:ascii="Times New Roman" w:hAnsi="Times New Roman" w:cs="Times New Roman"/>
          <w:sz w:val="24"/>
          <w:szCs w:val="24"/>
        </w:rPr>
      </w:pPr>
      <w:r w:rsidRPr="00FC3E99">
        <w:rPr>
          <w:rFonts w:ascii="Times New Roman" w:hAnsi="Times New Roman" w:cs="Times New Roman"/>
          <w:sz w:val="24"/>
          <w:szCs w:val="24"/>
        </w:rPr>
        <w:t>Cuantumul garanției de bună execuție reprezintă</w:t>
      </w:r>
      <w:r w:rsidRPr="00FC3E99">
        <w:rPr>
          <w:rFonts w:ascii="Times New Roman" w:hAnsi="Times New Roman" w:cs="Times New Roman"/>
          <w:i/>
          <w:sz w:val="24"/>
          <w:szCs w:val="24"/>
        </w:rPr>
        <w:t xml:space="preserve"> </w:t>
      </w:r>
      <w:r w:rsidRPr="00FC3E99">
        <w:rPr>
          <w:rFonts w:ascii="Times New Roman" w:hAnsi="Times New Roman" w:cs="Times New Roman"/>
          <w:sz w:val="24"/>
          <w:szCs w:val="24"/>
        </w:rPr>
        <w:t xml:space="preserve">10% din prețul contractului (fără TVA) și se va constitui în conformitate cu prevederile art. </w:t>
      </w:r>
      <w:r w:rsidRPr="00FC3E99">
        <w:rPr>
          <w:rFonts w:ascii="Times New Roman" w:hAnsi="Times New Roman" w:cs="Times New Roman"/>
          <w:i/>
          <w:iCs/>
          <w:sz w:val="24"/>
          <w:szCs w:val="24"/>
        </w:rPr>
        <w:t>art. 39 alin.(3) din H.G. Nr. 395/2016 cu modificările și completările ulterioare</w:t>
      </w:r>
      <w:r w:rsidRPr="00FC3E99">
        <w:rPr>
          <w:rFonts w:ascii="Times New Roman" w:hAnsi="Times New Roman" w:cs="Times New Roman"/>
          <w:sz w:val="24"/>
          <w:szCs w:val="24"/>
        </w:rPr>
        <w:t>.</w:t>
      </w:r>
    </w:p>
    <w:p w14:paraId="76278039" w14:textId="77777777" w:rsidR="00B26621" w:rsidRPr="00FC3E99" w:rsidRDefault="00B26621" w:rsidP="00B26621">
      <w:pPr>
        <w:spacing w:after="0" w:line="276" w:lineRule="auto"/>
        <w:contextualSpacing/>
        <w:jc w:val="both"/>
        <w:rPr>
          <w:rFonts w:ascii="Times New Roman" w:hAnsi="Times New Roman" w:cs="Times New Roman"/>
          <w:sz w:val="24"/>
          <w:szCs w:val="24"/>
        </w:rPr>
      </w:pPr>
      <w:r w:rsidRPr="00FC3E99">
        <w:rPr>
          <w:rFonts w:ascii="Times New Roman" w:hAnsi="Times New Roman" w:cs="Times New Roman"/>
          <w:sz w:val="24"/>
          <w:szCs w:val="24"/>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646F0DD4" w14:textId="77777777" w:rsidR="00B26621" w:rsidRPr="00FC3E99" w:rsidRDefault="00B26621" w:rsidP="00B26621">
      <w:pPr>
        <w:autoSpaceDE w:val="0"/>
        <w:autoSpaceDN w:val="0"/>
        <w:adjustRightInd w:val="0"/>
        <w:spacing w:after="0" w:line="276" w:lineRule="auto"/>
        <w:contextualSpacing/>
        <w:jc w:val="both"/>
        <w:rPr>
          <w:rFonts w:ascii="Times New Roman" w:hAnsi="Times New Roman" w:cs="Times New Roman"/>
          <w:sz w:val="24"/>
          <w:szCs w:val="24"/>
        </w:rPr>
      </w:pPr>
      <w:r w:rsidRPr="00FC3E99">
        <w:rPr>
          <w:rFonts w:ascii="Times New Roman" w:hAnsi="Times New Roman" w:cs="Times New Roman"/>
          <w:sz w:val="24"/>
          <w:szCs w:val="24"/>
        </w:rPr>
        <w:t>Autoritatea contractantă va elibera/restitui garanţia de bună execuţie în cel mult 14 zile de la data întocmirii procesului-verbal de recepţie a produselor care fac obiectul contractului de achiziţie publică şi/sau de la plata facturii finale, dacă nu a ridicat până la acea dată pretenţii asupra ei.</w:t>
      </w:r>
    </w:p>
    <w:p w14:paraId="1372796D" w14:textId="77777777" w:rsidR="00B26621" w:rsidRPr="00FC3E99" w:rsidRDefault="00B26621" w:rsidP="00B26621">
      <w:pPr>
        <w:spacing w:after="0" w:line="276" w:lineRule="auto"/>
        <w:contextualSpacing/>
        <w:jc w:val="both"/>
        <w:rPr>
          <w:rFonts w:ascii="Times New Roman" w:hAnsi="Times New Roman" w:cs="Times New Roman"/>
          <w:sz w:val="24"/>
          <w:szCs w:val="24"/>
        </w:rPr>
      </w:pPr>
    </w:p>
    <w:p w14:paraId="12C1111A" w14:textId="77777777" w:rsidR="00B26621" w:rsidRPr="00FC3E99" w:rsidRDefault="00B26621" w:rsidP="00DE0893">
      <w:pPr>
        <w:jc w:val="both"/>
        <w:rPr>
          <w:rFonts w:ascii="Times New Roman" w:hAnsi="Times New Roman" w:cs="Times New Roman"/>
          <w:sz w:val="24"/>
          <w:szCs w:val="24"/>
        </w:rPr>
      </w:pPr>
    </w:p>
    <w:sectPr w:rsidR="00B26621" w:rsidRPr="00FC3E99" w:rsidSect="00B26621">
      <w:headerReference w:type="default" r:id="rId8"/>
      <w:pgSz w:w="12240" w:h="15840"/>
      <w:pgMar w:top="630" w:right="900" w:bottom="1440" w:left="9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8476" w14:textId="77777777" w:rsidR="00567862" w:rsidRDefault="00567862" w:rsidP="00B26621">
      <w:pPr>
        <w:spacing w:after="0" w:line="240" w:lineRule="auto"/>
      </w:pPr>
      <w:r>
        <w:separator/>
      </w:r>
    </w:p>
  </w:endnote>
  <w:endnote w:type="continuationSeparator" w:id="0">
    <w:p w14:paraId="378195BD" w14:textId="77777777" w:rsidR="00567862" w:rsidRDefault="00567862" w:rsidP="00B2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7509" w14:textId="77777777" w:rsidR="00567862" w:rsidRDefault="00567862" w:rsidP="00B26621">
      <w:pPr>
        <w:spacing w:after="0" w:line="240" w:lineRule="auto"/>
      </w:pPr>
      <w:r>
        <w:separator/>
      </w:r>
    </w:p>
  </w:footnote>
  <w:footnote w:type="continuationSeparator" w:id="0">
    <w:p w14:paraId="3188F6BC" w14:textId="77777777" w:rsidR="00567862" w:rsidRDefault="00567862" w:rsidP="00B2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9DF1" w14:textId="029EEA42" w:rsidR="00FD24A2" w:rsidRDefault="00FD24A2" w:rsidP="00FD24A2">
    <w:pPr>
      <w:pStyle w:val="Header"/>
    </w:pPr>
  </w:p>
  <w:tbl>
    <w:tblPr>
      <w:tblW w:w="10490" w:type="dxa"/>
      <w:jc w:val="center"/>
      <w:tblLook w:val="04A0" w:firstRow="1" w:lastRow="0" w:firstColumn="1" w:lastColumn="0" w:noHBand="0" w:noVBand="1"/>
    </w:tblPr>
    <w:tblGrid>
      <w:gridCol w:w="1626"/>
      <w:gridCol w:w="8864"/>
    </w:tblGrid>
    <w:tr w:rsidR="00FD24A2" w14:paraId="326631E9" w14:textId="77777777" w:rsidTr="008F237A">
      <w:trPr>
        <w:jc w:val="center"/>
      </w:trPr>
      <w:tc>
        <w:tcPr>
          <w:tcW w:w="1626" w:type="dxa"/>
        </w:tcPr>
        <w:p w14:paraId="7958F3CC" w14:textId="77777777" w:rsidR="00FD24A2" w:rsidRPr="00774AED" w:rsidRDefault="00FD24A2" w:rsidP="00FD24A2">
          <w:pPr>
            <w:pStyle w:val="Header"/>
            <w:spacing w:line="276" w:lineRule="auto"/>
            <w:jc w:val="center"/>
            <w:rPr>
              <w:rFonts w:ascii="Arial Narrow" w:eastAsia="Calibri" w:hAnsi="Arial Narrow" w:cs="Arial"/>
              <w:color w:val="0559A1"/>
              <w:sz w:val="26"/>
              <w:szCs w:val="26"/>
            </w:rPr>
          </w:pPr>
        </w:p>
      </w:tc>
      <w:tc>
        <w:tcPr>
          <w:tcW w:w="8864" w:type="dxa"/>
        </w:tcPr>
        <w:p w14:paraId="648DE3BA" w14:textId="77777777" w:rsidR="00FD24A2" w:rsidRPr="00774AED" w:rsidRDefault="00FD24A2" w:rsidP="00FD24A2">
          <w:pPr>
            <w:pStyle w:val="Header"/>
            <w:spacing w:line="276" w:lineRule="auto"/>
            <w:ind w:left="-39"/>
            <w:jc w:val="center"/>
            <w:rPr>
              <w:rFonts w:ascii="Calibri" w:eastAsia="Calibri" w:hAnsi="Calibri" w:cs="Arial"/>
              <w:b/>
              <w:bCs/>
              <w:color w:val="002060"/>
              <w:sz w:val="26"/>
              <w:szCs w:val="26"/>
            </w:rPr>
          </w:pPr>
        </w:p>
      </w:tc>
    </w:tr>
    <w:tr w:rsidR="00BE7798" w14:paraId="06A89425" w14:textId="77777777" w:rsidTr="00A06BF2">
      <w:trPr>
        <w:jc w:val="center"/>
      </w:trPr>
      <w:tc>
        <w:tcPr>
          <w:tcW w:w="1626" w:type="dxa"/>
          <w:vAlign w:val="center"/>
        </w:tcPr>
        <w:p w14:paraId="11BDB869" w14:textId="449BC565" w:rsidR="00BE7798" w:rsidRDefault="00BE7798" w:rsidP="00BE7798">
          <w:pPr>
            <w:pStyle w:val="Header"/>
            <w:spacing w:line="276" w:lineRule="auto"/>
            <w:jc w:val="center"/>
            <w:rPr>
              <w:rFonts w:ascii="Times New Roman" w:hAnsi="Times New Roman"/>
              <w:color w:val="0559A1"/>
            </w:rPr>
          </w:pPr>
          <w:r>
            <w:rPr>
              <w:noProof/>
            </w:rPr>
            <w:drawing>
              <wp:anchor distT="0" distB="0" distL="114300" distR="114300" simplePos="0" relativeHeight="251659264" behindDoc="1" locked="0" layoutInCell="1" allowOverlap="1" wp14:anchorId="3C011CE1" wp14:editId="264F206D">
                <wp:simplePos x="0" y="0"/>
                <wp:positionH relativeFrom="column">
                  <wp:posOffset>60960</wp:posOffset>
                </wp:positionH>
                <wp:positionV relativeFrom="paragraph">
                  <wp:posOffset>-127000</wp:posOffset>
                </wp:positionV>
                <wp:extent cx="666750" cy="689610"/>
                <wp:effectExtent l="0" t="0" r="0" b="0"/>
                <wp:wrapTight wrapText="bothSides">
                  <wp:wrapPolygon edited="0">
                    <wp:start x="0" y="0"/>
                    <wp:lineTo x="0" y="20884"/>
                    <wp:lineTo x="20983" y="20884"/>
                    <wp:lineTo x="20983" y="0"/>
                    <wp:lineTo x="0" y="0"/>
                  </wp:wrapPolygon>
                </wp:wrapTight>
                <wp:docPr id="54818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658515D" w14:textId="77777777" w:rsidR="00BE7798" w:rsidRDefault="00BE7798" w:rsidP="00BE7798">
          <w:pPr>
            <w:pStyle w:val="Header"/>
            <w:spacing w:line="276" w:lineRule="auto"/>
            <w:ind w:left="-39"/>
            <w:jc w:val="center"/>
            <w:rPr>
              <w:rFonts w:ascii="Times New Roman" w:hAnsi="Times New Roman"/>
              <w:color w:val="002060"/>
              <w:lang w:val="pt-PT"/>
            </w:rPr>
          </w:pPr>
          <w:r>
            <w:rPr>
              <w:rFonts w:ascii="Times New Roman" w:hAnsi="Times New Roman"/>
              <w:color w:val="002060"/>
              <w:lang w:val="pt-PT"/>
            </w:rPr>
            <w:t>MINISTERUL EDUCAȚIEI Si cercetarii</w:t>
          </w:r>
        </w:p>
        <w:p w14:paraId="75361F9E" w14:textId="77777777" w:rsidR="00BE7798" w:rsidRDefault="00BE7798" w:rsidP="00BE7798">
          <w:pPr>
            <w:pStyle w:val="Header"/>
            <w:spacing w:line="276" w:lineRule="auto"/>
            <w:ind w:left="-39"/>
            <w:jc w:val="center"/>
            <w:rPr>
              <w:rFonts w:ascii="Times New Roman" w:hAnsi="Times New Roman"/>
              <w:b/>
              <w:bCs/>
              <w:color w:val="002060"/>
              <w:lang w:val="pt-PT"/>
            </w:rPr>
          </w:pPr>
          <w:r>
            <w:rPr>
              <w:rFonts w:ascii="Times New Roman" w:hAnsi="Times New Roman"/>
              <w:b/>
              <w:bCs/>
              <w:color w:val="002060"/>
              <w:lang w:val="pt-PT"/>
            </w:rPr>
            <w:t xml:space="preserve">Universitatea Națională de Știință și Tehnologie POLITEHNICA București </w:t>
          </w:r>
        </w:p>
        <w:p w14:paraId="3867F180" w14:textId="77777777" w:rsidR="00BE7798" w:rsidRDefault="00BE7798" w:rsidP="00BE7798">
          <w:pPr>
            <w:pStyle w:val="Header"/>
            <w:spacing w:line="276" w:lineRule="auto"/>
            <w:ind w:left="-39"/>
            <w:jc w:val="center"/>
            <w:rPr>
              <w:rFonts w:ascii="Times New Roman" w:hAnsi="Times New Roman"/>
            </w:rPr>
          </w:pPr>
          <w:r>
            <w:rPr>
              <w:rFonts w:ascii="Times New Roman" w:hAnsi="Times New Roman"/>
              <w:color w:val="002060"/>
            </w:rPr>
            <w:t>Direcția Achiziții</w:t>
          </w:r>
        </w:p>
      </w:tc>
    </w:tr>
  </w:tbl>
  <w:p w14:paraId="22A55A21" w14:textId="77777777" w:rsidR="00FD24A2" w:rsidRDefault="00FD24A2" w:rsidP="00FD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75192270">
    <w:abstractNumId w:val="2"/>
  </w:num>
  <w:num w:numId="2" w16cid:durableId="1580826338">
    <w:abstractNumId w:val="9"/>
  </w:num>
  <w:num w:numId="3" w16cid:durableId="1534146402">
    <w:abstractNumId w:val="8"/>
  </w:num>
  <w:num w:numId="4" w16cid:durableId="1092898614">
    <w:abstractNumId w:val="6"/>
  </w:num>
  <w:num w:numId="5" w16cid:durableId="2071340923">
    <w:abstractNumId w:val="18"/>
  </w:num>
  <w:num w:numId="6" w16cid:durableId="419910336">
    <w:abstractNumId w:val="21"/>
  </w:num>
  <w:num w:numId="7" w16cid:durableId="1752316173">
    <w:abstractNumId w:val="14"/>
  </w:num>
  <w:num w:numId="8" w16cid:durableId="666635147">
    <w:abstractNumId w:val="13"/>
  </w:num>
  <w:num w:numId="9" w16cid:durableId="490173279">
    <w:abstractNumId w:val="3"/>
  </w:num>
  <w:num w:numId="10" w16cid:durableId="1033267499">
    <w:abstractNumId w:val="24"/>
  </w:num>
  <w:num w:numId="11" w16cid:durableId="627056006">
    <w:abstractNumId w:val="16"/>
  </w:num>
  <w:num w:numId="12" w16cid:durableId="9767900">
    <w:abstractNumId w:val="17"/>
  </w:num>
  <w:num w:numId="13" w16cid:durableId="2077164618">
    <w:abstractNumId w:val="25"/>
  </w:num>
  <w:num w:numId="14" w16cid:durableId="1687445317">
    <w:abstractNumId w:val="19"/>
  </w:num>
  <w:num w:numId="15" w16cid:durableId="774977909">
    <w:abstractNumId w:val="11"/>
  </w:num>
  <w:num w:numId="16" w16cid:durableId="146940995">
    <w:abstractNumId w:val="4"/>
  </w:num>
  <w:num w:numId="17" w16cid:durableId="150223747">
    <w:abstractNumId w:val="5"/>
  </w:num>
  <w:num w:numId="18" w16cid:durableId="639461678">
    <w:abstractNumId w:val="1"/>
  </w:num>
  <w:num w:numId="19" w16cid:durableId="829829473">
    <w:abstractNumId w:val="15"/>
  </w:num>
  <w:num w:numId="20" w16cid:durableId="1783645666">
    <w:abstractNumId w:val="27"/>
  </w:num>
  <w:num w:numId="21" w16cid:durableId="291638766">
    <w:abstractNumId w:val="7"/>
  </w:num>
  <w:num w:numId="22" w16cid:durableId="1223714414">
    <w:abstractNumId w:val="20"/>
  </w:num>
  <w:num w:numId="23" w16cid:durableId="1345747562">
    <w:abstractNumId w:val="0"/>
  </w:num>
  <w:num w:numId="24" w16cid:durableId="1223952940">
    <w:abstractNumId w:val="26"/>
  </w:num>
  <w:num w:numId="25" w16cid:durableId="1231306096">
    <w:abstractNumId w:val="22"/>
  </w:num>
  <w:num w:numId="26" w16cid:durableId="1296570011">
    <w:abstractNumId w:val="23"/>
  </w:num>
  <w:num w:numId="27" w16cid:durableId="1790784811">
    <w:abstractNumId w:val="12"/>
  </w:num>
  <w:num w:numId="28" w16cid:durableId="182924880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D3E"/>
    <w:rsid w:val="00002A2A"/>
    <w:rsid w:val="0001422D"/>
    <w:rsid w:val="0006207E"/>
    <w:rsid w:val="0006461C"/>
    <w:rsid w:val="000D4670"/>
    <w:rsid w:val="000F6045"/>
    <w:rsid w:val="00124C2B"/>
    <w:rsid w:val="0013020D"/>
    <w:rsid w:val="0013315B"/>
    <w:rsid w:val="00135784"/>
    <w:rsid w:val="00145743"/>
    <w:rsid w:val="00161C3D"/>
    <w:rsid w:val="00171648"/>
    <w:rsid w:val="001A156D"/>
    <w:rsid w:val="001A7E5A"/>
    <w:rsid w:val="001E22D3"/>
    <w:rsid w:val="00207337"/>
    <w:rsid w:val="00250B08"/>
    <w:rsid w:val="00294656"/>
    <w:rsid w:val="002B3154"/>
    <w:rsid w:val="002C61CA"/>
    <w:rsid w:val="002F3625"/>
    <w:rsid w:val="002F4D42"/>
    <w:rsid w:val="0030653B"/>
    <w:rsid w:val="00307F06"/>
    <w:rsid w:val="003270EF"/>
    <w:rsid w:val="00374710"/>
    <w:rsid w:val="003B3DEB"/>
    <w:rsid w:val="003B745E"/>
    <w:rsid w:val="00415732"/>
    <w:rsid w:val="00422AE9"/>
    <w:rsid w:val="00452B50"/>
    <w:rsid w:val="00453D29"/>
    <w:rsid w:val="0046426B"/>
    <w:rsid w:val="004721F0"/>
    <w:rsid w:val="004936D6"/>
    <w:rsid w:val="004A1165"/>
    <w:rsid w:val="004E2742"/>
    <w:rsid w:val="00503A94"/>
    <w:rsid w:val="0053586D"/>
    <w:rsid w:val="00552DE3"/>
    <w:rsid w:val="00567862"/>
    <w:rsid w:val="00580BC2"/>
    <w:rsid w:val="005C6F16"/>
    <w:rsid w:val="005F2DD8"/>
    <w:rsid w:val="00626019"/>
    <w:rsid w:val="00632421"/>
    <w:rsid w:val="006635E6"/>
    <w:rsid w:val="0067177A"/>
    <w:rsid w:val="006804D3"/>
    <w:rsid w:val="006A2127"/>
    <w:rsid w:val="006D066C"/>
    <w:rsid w:val="006F262C"/>
    <w:rsid w:val="007E6B2C"/>
    <w:rsid w:val="007E758D"/>
    <w:rsid w:val="007F7118"/>
    <w:rsid w:val="00863AC6"/>
    <w:rsid w:val="00875214"/>
    <w:rsid w:val="00875D3E"/>
    <w:rsid w:val="008E5A7F"/>
    <w:rsid w:val="008E78DE"/>
    <w:rsid w:val="008E7F24"/>
    <w:rsid w:val="008F2016"/>
    <w:rsid w:val="00923AAF"/>
    <w:rsid w:val="00936349"/>
    <w:rsid w:val="00977ED4"/>
    <w:rsid w:val="00985906"/>
    <w:rsid w:val="009C78E5"/>
    <w:rsid w:val="00A42AAF"/>
    <w:rsid w:val="00AA151C"/>
    <w:rsid w:val="00AB5940"/>
    <w:rsid w:val="00AD4218"/>
    <w:rsid w:val="00AD5E48"/>
    <w:rsid w:val="00AE14A9"/>
    <w:rsid w:val="00AE6FCB"/>
    <w:rsid w:val="00B26621"/>
    <w:rsid w:val="00B35A9C"/>
    <w:rsid w:val="00B54AEF"/>
    <w:rsid w:val="00B71812"/>
    <w:rsid w:val="00B850B7"/>
    <w:rsid w:val="00BD6FE0"/>
    <w:rsid w:val="00BE7798"/>
    <w:rsid w:val="00C149A8"/>
    <w:rsid w:val="00C23818"/>
    <w:rsid w:val="00C24333"/>
    <w:rsid w:val="00C250EB"/>
    <w:rsid w:val="00C5290C"/>
    <w:rsid w:val="00C71879"/>
    <w:rsid w:val="00CA4A4D"/>
    <w:rsid w:val="00CE25C7"/>
    <w:rsid w:val="00CE4E36"/>
    <w:rsid w:val="00D43FA0"/>
    <w:rsid w:val="00D55A69"/>
    <w:rsid w:val="00DC0AA1"/>
    <w:rsid w:val="00DE0893"/>
    <w:rsid w:val="00DE1329"/>
    <w:rsid w:val="00DE6659"/>
    <w:rsid w:val="00E058D2"/>
    <w:rsid w:val="00E67E36"/>
    <w:rsid w:val="00E72733"/>
    <w:rsid w:val="00E734FE"/>
    <w:rsid w:val="00E80AFE"/>
    <w:rsid w:val="00E80EC2"/>
    <w:rsid w:val="00E9181A"/>
    <w:rsid w:val="00E96D63"/>
    <w:rsid w:val="00EB6D29"/>
    <w:rsid w:val="00ED21BE"/>
    <w:rsid w:val="00ED5993"/>
    <w:rsid w:val="00EF5879"/>
    <w:rsid w:val="00F05D62"/>
    <w:rsid w:val="00F071EA"/>
    <w:rsid w:val="00F25E67"/>
    <w:rsid w:val="00F3025F"/>
    <w:rsid w:val="00F30F95"/>
    <w:rsid w:val="00F609FC"/>
    <w:rsid w:val="00F977C3"/>
    <w:rsid w:val="00FC3E99"/>
    <w:rsid w:val="00FD24A2"/>
    <w:rsid w:val="00FD4B1C"/>
    <w:rsid w:val="00FD4FD3"/>
    <w:rsid w:val="00FD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5837"/>
  <w15:docId w15:val="{DE0BA017-6AE6-4E3A-A4C1-FAA8454A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3E"/>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875D3E"/>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875D3E"/>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875D3E"/>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875D3E"/>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75D3E"/>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75D3E"/>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875D3E"/>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875D3E"/>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875D3E"/>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875D3E"/>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875D3E"/>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75D3E"/>
    <w:rPr>
      <w:rFonts w:asciiTheme="majorHAnsi" w:eastAsiaTheme="majorEastAsia" w:hAnsiTheme="majorHAnsi" w:cstheme="majorBidi"/>
      <w:b/>
      <w:bCs/>
      <w:color w:val="5B9BD5" w:themeColor="accent1"/>
      <w:lang w:val="ro-RO"/>
    </w:rPr>
  </w:style>
  <w:style w:type="character" w:customStyle="1" w:styleId="Heading4Char">
    <w:name w:val="Heading 4 Char"/>
    <w:aliases w:val="H4 Char"/>
    <w:basedOn w:val="DefaultParagraphFont"/>
    <w:link w:val="Heading4"/>
    <w:uiPriority w:val="9"/>
    <w:rsid w:val="00875D3E"/>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rsid w:val="00875D3E"/>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rsid w:val="00875D3E"/>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uiPriority w:val="9"/>
    <w:rsid w:val="00875D3E"/>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875D3E"/>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875D3E"/>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875D3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5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D3E"/>
    <w:rPr>
      <w:sz w:val="20"/>
      <w:szCs w:val="20"/>
      <w:lang w:val="ro-RO"/>
    </w:rPr>
  </w:style>
  <w:style w:type="character" w:styleId="FootnoteReference">
    <w:name w:val="footnote reference"/>
    <w:basedOn w:val="DefaultParagraphFont"/>
    <w:uiPriority w:val="99"/>
    <w:unhideWhenUsed/>
    <w:rsid w:val="00875D3E"/>
    <w:rPr>
      <w:vertAlign w:val="superscript"/>
    </w:rPr>
  </w:style>
  <w:style w:type="paragraph" w:styleId="ListParagraph">
    <w:name w:val="List Paragraph"/>
    <w:aliases w:val="Forth level,body 2,Akapit z listą BS,Outlines a.b.c.,List_Paragraph,Multilevel para_II,Akapit z lista BS,# List Paragraph,Cablenet,Normal bullet 2,List Paragraph1,numbered list,OBC Bullet,Normal 1,Task Body,Viñetas (Inicio Parrafo),b"/>
    <w:basedOn w:val="Normal"/>
    <w:link w:val="ListParagraphChar"/>
    <w:uiPriority w:val="1"/>
    <w:qFormat/>
    <w:rsid w:val="00875D3E"/>
    <w:pPr>
      <w:ind w:left="720"/>
      <w:contextualSpacing/>
    </w:pPr>
  </w:style>
  <w:style w:type="character" w:styleId="CommentReference">
    <w:name w:val="annotation reference"/>
    <w:basedOn w:val="DefaultParagraphFont"/>
    <w:uiPriority w:val="99"/>
    <w:semiHidden/>
    <w:unhideWhenUsed/>
    <w:rsid w:val="00875D3E"/>
    <w:rPr>
      <w:sz w:val="16"/>
      <w:szCs w:val="16"/>
    </w:rPr>
  </w:style>
  <w:style w:type="paragraph" w:styleId="CommentText">
    <w:name w:val="annotation text"/>
    <w:basedOn w:val="Normal"/>
    <w:link w:val="CommentTextChar"/>
    <w:uiPriority w:val="99"/>
    <w:semiHidden/>
    <w:unhideWhenUsed/>
    <w:rsid w:val="00875D3E"/>
    <w:pPr>
      <w:spacing w:line="240" w:lineRule="auto"/>
    </w:pPr>
    <w:rPr>
      <w:sz w:val="20"/>
      <w:szCs w:val="20"/>
    </w:rPr>
  </w:style>
  <w:style w:type="character" w:customStyle="1" w:styleId="CommentTextChar">
    <w:name w:val="Comment Text Char"/>
    <w:basedOn w:val="DefaultParagraphFont"/>
    <w:link w:val="CommentText"/>
    <w:uiPriority w:val="99"/>
    <w:semiHidden/>
    <w:rsid w:val="00875D3E"/>
    <w:rPr>
      <w:sz w:val="20"/>
      <w:szCs w:val="20"/>
      <w:lang w:val="ro-RO"/>
    </w:rPr>
  </w:style>
  <w:style w:type="paragraph" w:styleId="CommentSubject">
    <w:name w:val="annotation subject"/>
    <w:basedOn w:val="CommentText"/>
    <w:next w:val="CommentText"/>
    <w:link w:val="CommentSubjectChar"/>
    <w:uiPriority w:val="99"/>
    <w:semiHidden/>
    <w:unhideWhenUsed/>
    <w:rsid w:val="00875D3E"/>
    <w:rPr>
      <w:b/>
      <w:bCs/>
    </w:rPr>
  </w:style>
  <w:style w:type="character" w:customStyle="1" w:styleId="CommentSubjectChar">
    <w:name w:val="Comment Subject Char"/>
    <w:basedOn w:val="CommentTextChar"/>
    <w:link w:val="CommentSubject"/>
    <w:uiPriority w:val="99"/>
    <w:semiHidden/>
    <w:rsid w:val="00875D3E"/>
    <w:rPr>
      <w:b/>
      <w:bCs/>
      <w:sz w:val="20"/>
      <w:szCs w:val="20"/>
      <w:lang w:val="ro-RO"/>
    </w:rPr>
  </w:style>
  <w:style w:type="paragraph" w:styleId="BalloonText">
    <w:name w:val="Balloon Text"/>
    <w:basedOn w:val="Normal"/>
    <w:link w:val="BalloonTextChar"/>
    <w:uiPriority w:val="99"/>
    <w:semiHidden/>
    <w:unhideWhenUsed/>
    <w:rsid w:val="0087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3E"/>
    <w:rPr>
      <w:rFonts w:ascii="Segoe UI" w:hAnsi="Segoe UI" w:cs="Segoe UI"/>
      <w:sz w:val="18"/>
      <w:szCs w:val="18"/>
      <w:lang w:val="ro-RO"/>
    </w:rPr>
  </w:style>
  <w:style w:type="paragraph" w:styleId="Header">
    <w:name w:val="header"/>
    <w:basedOn w:val="Normal"/>
    <w:link w:val="HeaderChar"/>
    <w:unhideWhenUsed/>
    <w:qFormat/>
    <w:rsid w:val="00875D3E"/>
    <w:pPr>
      <w:tabs>
        <w:tab w:val="center" w:pos="4536"/>
        <w:tab w:val="right" w:pos="9072"/>
      </w:tabs>
      <w:spacing w:after="0" w:line="240" w:lineRule="auto"/>
    </w:pPr>
  </w:style>
  <w:style w:type="character" w:customStyle="1" w:styleId="HeaderChar">
    <w:name w:val="Header Char"/>
    <w:basedOn w:val="DefaultParagraphFont"/>
    <w:link w:val="Header"/>
    <w:qFormat/>
    <w:rsid w:val="00875D3E"/>
    <w:rPr>
      <w:lang w:val="ro-RO"/>
    </w:rPr>
  </w:style>
  <w:style w:type="paragraph" w:styleId="Footer">
    <w:name w:val="footer"/>
    <w:basedOn w:val="Normal"/>
    <w:link w:val="FooterChar"/>
    <w:uiPriority w:val="99"/>
    <w:unhideWhenUsed/>
    <w:rsid w:val="00875D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D3E"/>
    <w:rPr>
      <w:lang w:val="ro-RO"/>
    </w:rPr>
  </w:style>
  <w:style w:type="paragraph" w:styleId="TOC1">
    <w:name w:val="toc 1"/>
    <w:basedOn w:val="Normal"/>
    <w:next w:val="Normal"/>
    <w:autoRedefine/>
    <w:uiPriority w:val="39"/>
    <w:unhideWhenUsed/>
    <w:qFormat/>
    <w:rsid w:val="00875D3E"/>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875D3E"/>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875D3E"/>
    <w:pPr>
      <w:spacing w:after="0" w:line="276" w:lineRule="auto"/>
      <w:ind w:left="440"/>
    </w:pPr>
    <w:rPr>
      <w:i/>
      <w:iCs/>
      <w:sz w:val="20"/>
      <w:szCs w:val="20"/>
    </w:rPr>
  </w:style>
  <w:style w:type="paragraph" w:styleId="TOC4">
    <w:name w:val="toc 4"/>
    <w:basedOn w:val="Normal"/>
    <w:next w:val="Normal"/>
    <w:autoRedefine/>
    <w:uiPriority w:val="39"/>
    <w:unhideWhenUsed/>
    <w:rsid w:val="00875D3E"/>
    <w:pPr>
      <w:spacing w:after="0" w:line="276" w:lineRule="auto"/>
      <w:ind w:left="660"/>
    </w:pPr>
    <w:rPr>
      <w:sz w:val="18"/>
      <w:szCs w:val="18"/>
    </w:rPr>
  </w:style>
  <w:style w:type="paragraph" w:styleId="TOC5">
    <w:name w:val="toc 5"/>
    <w:basedOn w:val="Normal"/>
    <w:next w:val="Normal"/>
    <w:autoRedefine/>
    <w:uiPriority w:val="39"/>
    <w:unhideWhenUsed/>
    <w:rsid w:val="00875D3E"/>
    <w:pPr>
      <w:spacing w:after="0" w:line="276" w:lineRule="auto"/>
      <w:ind w:left="880"/>
    </w:pPr>
    <w:rPr>
      <w:sz w:val="18"/>
      <w:szCs w:val="18"/>
    </w:rPr>
  </w:style>
  <w:style w:type="paragraph" w:styleId="TOC6">
    <w:name w:val="toc 6"/>
    <w:basedOn w:val="Normal"/>
    <w:next w:val="Normal"/>
    <w:autoRedefine/>
    <w:uiPriority w:val="39"/>
    <w:unhideWhenUsed/>
    <w:rsid w:val="00875D3E"/>
    <w:pPr>
      <w:spacing w:after="0" w:line="276" w:lineRule="auto"/>
      <w:ind w:left="1100"/>
    </w:pPr>
    <w:rPr>
      <w:sz w:val="18"/>
      <w:szCs w:val="18"/>
    </w:rPr>
  </w:style>
  <w:style w:type="paragraph" w:styleId="TOC7">
    <w:name w:val="toc 7"/>
    <w:basedOn w:val="Normal"/>
    <w:next w:val="Normal"/>
    <w:autoRedefine/>
    <w:uiPriority w:val="39"/>
    <w:unhideWhenUsed/>
    <w:rsid w:val="00875D3E"/>
    <w:pPr>
      <w:spacing w:after="0" w:line="276" w:lineRule="auto"/>
      <w:ind w:left="1320"/>
    </w:pPr>
    <w:rPr>
      <w:sz w:val="18"/>
      <w:szCs w:val="18"/>
    </w:rPr>
  </w:style>
  <w:style w:type="paragraph" w:styleId="TOC8">
    <w:name w:val="toc 8"/>
    <w:basedOn w:val="Normal"/>
    <w:next w:val="Normal"/>
    <w:autoRedefine/>
    <w:uiPriority w:val="39"/>
    <w:unhideWhenUsed/>
    <w:rsid w:val="00875D3E"/>
    <w:pPr>
      <w:spacing w:after="0" w:line="276" w:lineRule="auto"/>
      <w:ind w:left="1540"/>
    </w:pPr>
    <w:rPr>
      <w:sz w:val="18"/>
      <w:szCs w:val="18"/>
    </w:rPr>
  </w:style>
  <w:style w:type="paragraph" w:styleId="TOC9">
    <w:name w:val="toc 9"/>
    <w:basedOn w:val="Normal"/>
    <w:next w:val="Normal"/>
    <w:autoRedefine/>
    <w:uiPriority w:val="39"/>
    <w:unhideWhenUsed/>
    <w:rsid w:val="00875D3E"/>
    <w:pPr>
      <w:spacing w:after="0" w:line="276" w:lineRule="auto"/>
      <w:ind w:left="1760"/>
    </w:pPr>
    <w:rPr>
      <w:sz w:val="18"/>
      <w:szCs w:val="18"/>
    </w:rPr>
  </w:style>
  <w:style w:type="character" w:styleId="Hyperlink">
    <w:name w:val="Hyperlink"/>
    <w:basedOn w:val="DefaultParagraphFont"/>
    <w:uiPriority w:val="99"/>
    <w:unhideWhenUsed/>
    <w:rsid w:val="00875D3E"/>
    <w:rPr>
      <w:color w:val="0563C1" w:themeColor="hyperlink"/>
      <w:u w:val="single"/>
    </w:rPr>
  </w:style>
  <w:style w:type="paragraph" w:styleId="NormalWeb">
    <w:name w:val="Normal (Web)"/>
    <w:basedOn w:val="Normal"/>
    <w:uiPriority w:val="99"/>
    <w:semiHidden/>
    <w:unhideWhenUsed/>
    <w:rsid w:val="00875D3E"/>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875D3E"/>
    <w:pPr>
      <w:spacing w:after="0" w:line="240" w:lineRule="auto"/>
    </w:pPr>
    <w:rPr>
      <w:lang w:val="ro-RO"/>
    </w:rPr>
  </w:style>
  <w:style w:type="paragraph" w:styleId="HTMLPreformatted">
    <w:name w:val="HTML Preformatted"/>
    <w:basedOn w:val="Normal"/>
    <w:link w:val="HTMLPreformattedChar"/>
    <w:uiPriority w:val="99"/>
    <w:semiHidden/>
    <w:unhideWhenUsed/>
    <w:rsid w:val="0087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875D3E"/>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875D3E"/>
    <w:rPr>
      <w:color w:val="808080"/>
    </w:rPr>
  </w:style>
  <w:style w:type="paragraph" w:customStyle="1" w:styleId="Body">
    <w:name w:val="Body"/>
    <w:basedOn w:val="Normal"/>
    <w:link w:val="BodyChar"/>
    <w:qFormat/>
    <w:rsid w:val="00875D3E"/>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75D3E"/>
    <w:rPr>
      <w:rFonts w:ascii="Trebuchet MS" w:hAnsi="Trebuchet MS" w:cs="Arial"/>
      <w:sz w:val="20"/>
      <w:szCs w:val="24"/>
    </w:rPr>
  </w:style>
  <w:style w:type="paragraph" w:customStyle="1" w:styleId="Bulet">
    <w:name w:val="Bulet"/>
    <w:basedOn w:val="Normal"/>
    <w:next w:val="Body"/>
    <w:link w:val="BuletChar"/>
    <w:qFormat/>
    <w:rsid w:val="00875D3E"/>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75D3E"/>
    <w:rPr>
      <w:rFonts w:ascii="Trebuchet MS" w:hAnsi="Trebuchet MS" w:cs="Arial"/>
      <w:sz w:val="20"/>
      <w:szCs w:val="24"/>
    </w:rPr>
  </w:style>
  <w:style w:type="paragraph" w:customStyle="1" w:styleId="Norm">
    <w:name w:val="Norm"/>
    <w:basedOn w:val="Normal"/>
    <w:qFormat/>
    <w:rsid w:val="00875D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875D3E"/>
    <w:rPr>
      <w:b/>
      <w:bCs/>
    </w:rPr>
  </w:style>
  <w:style w:type="paragraph" w:customStyle="1" w:styleId="Capitol">
    <w:name w:val="Capitol"/>
    <w:basedOn w:val="Body"/>
    <w:next w:val="Body"/>
    <w:qFormat/>
    <w:rsid w:val="00875D3E"/>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75D3E"/>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75D3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875D3E"/>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875D3E"/>
  </w:style>
  <w:style w:type="paragraph" w:customStyle="1" w:styleId="Text2">
    <w:name w:val="Text 2"/>
    <w:basedOn w:val="Normal"/>
    <w:link w:val="Text2Char"/>
    <w:rsid w:val="00875D3E"/>
    <w:pPr>
      <w:tabs>
        <w:tab w:val="left" w:pos="2161"/>
      </w:tabs>
      <w:spacing w:after="240" w:line="276" w:lineRule="auto"/>
      <w:ind w:left="1077"/>
      <w:jc w:val="both"/>
    </w:pPr>
    <w:rPr>
      <w:szCs w:val="20"/>
    </w:rPr>
  </w:style>
  <w:style w:type="character" w:customStyle="1" w:styleId="Text2Char">
    <w:name w:val="Text 2 Char"/>
    <w:link w:val="Text2"/>
    <w:rsid w:val="00875D3E"/>
    <w:rPr>
      <w:szCs w:val="20"/>
      <w:lang w:val="ro-RO"/>
    </w:rPr>
  </w:style>
  <w:style w:type="paragraph" w:customStyle="1" w:styleId="Default">
    <w:name w:val="Default"/>
    <w:rsid w:val="00875D3E"/>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875D3E"/>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75D3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875D3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875D3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75D3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875D3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75D3E"/>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875D3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875D3E"/>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75D3E"/>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75D3E"/>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body 2 Char,Akapit z listą BS Char,Outlines a.b.c. Char,List_Paragraph Char,Multilevel para_II Char,Akapit z lista BS Char,# List Paragraph Char,Cablenet Char,Normal bullet 2 Char,List Paragraph1 Char,OBC Bullet Char"/>
    <w:link w:val="ListParagraph"/>
    <w:uiPriority w:val="1"/>
    <w:qFormat/>
    <w:locked/>
    <w:rsid w:val="00875D3E"/>
    <w:rPr>
      <w:lang w:val="ro-RO"/>
    </w:rPr>
  </w:style>
  <w:style w:type="character" w:customStyle="1" w:styleId="A16">
    <w:name w:val="A16"/>
    <w:uiPriority w:val="99"/>
    <w:rsid w:val="00875D3E"/>
    <w:rPr>
      <w:rFonts w:cs="Myriad"/>
      <w:color w:val="211D1E"/>
      <w:sz w:val="22"/>
      <w:szCs w:val="22"/>
    </w:rPr>
  </w:style>
  <w:style w:type="paragraph" w:customStyle="1" w:styleId="normalpropostasChar">
    <w:name w:val="normal_propostas Char"/>
    <w:basedOn w:val="Normal"/>
    <w:rsid w:val="00875D3E"/>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875D3E"/>
  </w:style>
  <w:style w:type="paragraph" w:styleId="TOCHeading">
    <w:name w:val="TOC Heading"/>
    <w:basedOn w:val="Heading1"/>
    <w:next w:val="Normal"/>
    <w:uiPriority w:val="39"/>
    <w:semiHidden/>
    <w:unhideWhenUsed/>
    <w:qFormat/>
    <w:rsid w:val="00875D3E"/>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875D3E"/>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875D3E"/>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875D3E"/>
    <w:pPr>
      <w:numPr>
        <w:numId w:val="6"/>
      </w:numPr>
    </w:pPr>
  </w:style>
  <w:style w:type="character" w:customStyle="1" w:styleId="tpa1">
    <w:name w:val="tpa1"/>
    <w:basedOn w:val="DefaultParagraphFont"/>
    <w:rsid w:val="0087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E51E-87D3-40C5-955F-ABC0FA94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ELENA ZURZU (84953)</cp:lastModifiedBy>
  <cp:revision>8</cp:revision>
  <dcterms:created xsi:type="dcterms:W3CDTF">2021-10-11T17:52:00Z</dcterms:created>
  <dcterms:modified xsi:type="dcterms:W3CDTF">2026-01-19T10:43:00Z</dcterms:modified>
</cp:coreProperties>
</file>