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EB3D" w14:textId="77777777" w:rsidR="00E70393" w:rsidRPr="00266833" w:rsidRDefault="00E70393" w:rsidP="00E70393">
      <w:pPr>
        <w:ind w:right="-210"/>
        <w:jc w:val="center"/>
        <w:rPr>
          <w:rFonts w:ascii="Trebuchet MS" w:hAnsi="Trebuchet MS"/>
          <w:sz w:val="20"/>
          <w:szCs w:val="20"/>
          <w:lang w:val="fr-FR"/>
        </w:rPr>
      </w:pPr>
    </w:p>
    <w:p w14:paraId="7C125F18" w14:textId="77777777" w:rsidR="00E70393" w:rsidRPr="00266833" w:rsidRDefault="00E70393" w:rsidP="00E70393">
      <w:pPr>
        <w:ind w:right="-210"/>
        <w:jc w:val="center"/>
        <w:rPr>
          <w:rFonts w:ascii="Trebuchet MS" w:hAnsi="Trebuchet MS"/>
          <w:sz w:val="20"/>
          <w:szCs w:val="20"/>
          <w:lang w:val="fr-FR"/>
        </w:rPr>
      </w:pPr>
      <w:r w:rsidRPr="00266833">
        <w:rPr>
          <w:rFonts w:ascii="Trebuchet MS" w:hAnsi="Trebuchet MS"/>
          <w:sz w:val="20"/>
          <w:szCs w:val="20"/>
          <w:lang w:val="fr-FR"/>
        </w:rPr>
        <w:t xml:space="preserve">Declaraţia privind modalitatea de aplicare a principiului DNSH </w:t>
      </w:r>
    </w:p>
    <w:p w14:paraId="67D7170C" w14:textId="77777777" w:rsidR="00E70393" w:rsidRDefault="00E70393" w:rsidP="00E70393">
      <w:pPr>
        <w:ind w:right="-210"/>
        <w:jc w:val="center"/>
        <w:rPr>
          <w:rFonts w:ascii="Trebuchet MS" w:hAnsi="Trebuchet MS"/>
          <w:sz w:val="20"/>
          <w:szCs w:val="20"/>
          <w:lang w:val="fr-FR"/>
        </w:rPr>
      </w:pPr>
      <w:r w:rsidRPr="00266833">
        <w:rPr>
          <w:rFonts w:ascii="Trebuchet MS" w:hAnsi="Trebuchet MS"/>
          <w:sz w:val="20"/>
          <w:szCs w:val="20"/>
          <w:lang w:val="fr-FR"/>
        </w:rPr>
        <w:t>(„Do no significant harm” – „A nu aduce prejudicii asupra mediului”)</w:t>
      </w:r>
    </w:p>
    <w:p w14:paraId="7C25B964" w14:textId="77777777" w:rsidR="006B6022" w:rsidRDefault="006B6022" w:rsidP="00E70393">
      <w:pPr>
        <w:ind w:right="-210"/>
        <w:jc w:val="center"/>
        <w:rPr>
          <w:rFonts w:ascii="Trebuchet MS" w:hAnsi="Trebuchet MS"/>
          <w:sz w:val="20"/>
          <w:szCs w:val="20"/>
          <w:lang w:val="fr-FR"/>
        </w:rPr>
      </w:pPr>
    </w:p>
    <w:p w14:paraId="408BA363" w14:textId="77777777" w:rsidR="006B6022" w:rsidRPr="006B6022" w:rsidRDefault="006B6022" w:rsidP="006B6022">
      <w:pPr>
        <w:ind w:right="-210"/>
        <w:jc w:val="both"/>
        <w:rPr>
          <w:rFonts w:ascii="Trebuchet MS" w:hAnsi="Trebuchet MS"/>
          <w:b/>
          <w:bCs/>
          <w:sz w:val="20"/>
          <w:szCs w:val="20"/>
        </w:rPr>
      </w:pPr>
      <w:r w:rsidRPr="006B6022">
        <w:rPr>
          <w:rFonts w:ascii="Trebuchet MS" w:hAnsi="Trebuchet MS"/>
          <w:b/>
          <w:bCs/>
          <w:sz w:val="20"/>
          <w:szCs w:val="20"/>
        </w:rPr>
        <w:t>Instrucțiuni pentru completarea coloanei „Modalitate de îndeplinire – Ofertant”</w:t>
      </w:r>
    </w:p>
    <w:p w14:paraId="4807EC6C" w14:textId="518CE222" w:rsidR="006B6022" w:rsidRPr="006B6022" w:rsidRDefault="006B6022" w:rsidP="006B6022">
      <w:pPr>
        <w:ind w:right="-210"/>
        <w:jc w:val="both"/>
        <w:rPr>
          <w:rFonts w:ascii="Trebuchet MS" w:hAnsi="Trebuchet MS"/>
          <w:sz w:val="20"/>
          <w:szCs w:val="20"/>
        </w:rPr>
      </w:pPr>
      <w:r w:rsidRPr="006B6022">
        <w:rPr>
          <w:rFonts w:ascii="Trebuchet MS" w:hAnsi="Trebuchet MS"/>
          <w:sz w:val="20"/>
          <w:szCs w:val="20"/>
        </w:rPr>
        <w:t xml:space="preserve">Ofertantul are obligația de a descrie </w:t>
      </w:r>
      <w:r w:rsidRPr="006B6022">
        <w:rPr>
          <w:rFonts w:ascii="Trebuchet MS" w:hAnsi="Trebuchet MS"/>
          <w:b/>
          <w:bCs/>
          <w:sz w:val="20"/>
          <w:szCs w:val="20"/>
        </w:rPr>
        <w:t>în mod clar, concret și aplicabil procedurii de achiziție în cauză</w:t>
      </w:r>
      <w:r w:rsidRPr="006B6022">
        <w:rPr>
          <w:rFonts w:ascii="Trebuchet MS" w:hAnsi="Trebuchet MS"/>
          <w:sz w:val="20"/>
          <w:szCs w:val="20"/>
        </w:rPr>
        <w:t xml:space="preserve"> modul de respectare a principiului DNSH pentru fiecare obiectiv de mediu evaluat.</w:t>
      </w:r>
      <w:r w:rsidRPr="006B6022">
        <w:rPr>
          <w:rFonts w:ascii="Trebuchet MS" w:hAnsi="Trebuchet MS"/>
          <w:sz w:val="20"/>
          <w:szCs w:val="20"/>
        </w:rPr>
        <w:br/>
        <w:t xml:space="preserve">Descrierile trebuie să fie </w:t>
      </w:r>
      <w:r w:rsidRPr="006B6022">
        <w:rPr>
          <w:rFonts w:ascii="Trebuchet MS" w:hAnsi="Trebuchet MS"/>
          <w:b/>
          <w:bCs/>
          <w:sz w:val="20"/>
          <w:szCs w:val="20"/>
        </w:rPr>
        <w:t>specifice investiției propuse</w:t>
      </w:r>
      <w:r w:rsidRPr="006B6022">
        <w:rPr>
          <w:rFonts w:ascii="Trebuchet MS" w:hAnsi="Trebuchet MS"/>
          <w:sz w:val="20"/>
          <w:szCs w:val="20"/>
        </w:rPr>
        <w:t xml:space="preserve">, să reflecte </w:t>
      </w:r>
      <w:r w:rsidRPr="006B6022">
        <w:rPr>
          <w:rFonts w:ascii="Trebuchet MS" w:hAnsi="Trebuchet MS"/>
          <w:b/>
          <w:bCs/>
          <w:sz w:val="20"/>
          <w:szCs w:val="20"/>
        </w:rPr>
        <w:t>soluțiile tehnice, materialele și metodele efective</w:t>
      </w:r>
      <w:r w:rsidRPr="006B6022">
        <w:rPr>
          <w:rFonts w:ascii="Trebuchet MS" w:hAnsi="Trebuchet MS"/>
          <w:sz w:val="20"/>
          <w:szCs w:val="20"/>
        </w:rPr>
        <w:t xml:space="preserve"> de implementare, </w:t>
      </w:r>
      <w:r w:rsidRPr="006B6022">
        <w:rPr>
          <w:rFonts w:ascii="Trebuchet MS" w:hAnsi="Trebuchet MS"/>
          <w:b/>
          <w:bCs/>
          <w:sz w:val="20"/>
          <w:szCs w:val="20"/>
        </w:rPr>
        <w:t>nu simple preluări</w:t>
      </w:r>
      <w:r w:rsidRPr="006B6022">
        <w:rPr>
          <w:rFonts w:ascii="Trebuchet MS" w:hAnsi="Trebuchet MS"/>
          <w:sz w:val="20"/>
          <w:szCs w:val="20"/>
        </w:rPr>
        <w:t xml:space="preserve"> din documentația de atribuire sau formulări generale.</w:t>
      </w:r>
      <w:r w:rsidRPr="006B6022">
        <w:rPr>
          <w:rFonts w:ascii="Trebuchet MS" w:hAnsi="Trebuchet MS"/>
          <w:sz w:val="20"/>
          <w:szCs w:val="20"/>
        </w:rPr>
        <w:br/>
        <w:t xml:space="preserve">Lipsa unei justificări detaliate, incomplete sau necorelate cu obiectul contractului va fi considerată </w:t>
      </w:r>
      <w:r w:rsidRPr="006B6022">
        <w:rPr>
          <w:rFonts w:ascii="Trebuchet MS" w:hAnsi="Trebuchet MS"/>
          <w:b/>
          <w:bCs/>
          <w:sz w:val="20"/>
          <w:szCs w:val="20"/>
        </w:rPr>
        <w:t>neconformitate</w:t>
      </w:r>
      <w:r w:rsidRPr="006B6022">
        <w:rPr>
          <w:rFonts w:ascii="Trebuchet MS" w:hAnsi="Trebuchet MS"/>
          <w:sz w:val="20"/>
          <w:szCs w:val="20"/>
        </w:rPr>
        <w:t xml:space="preserve"> a ofertei din punct de vedere al respectării principiului DNSH</w:t>
      </w:r>
      <w:r>
        <w:rPr>
          <w:rFonts w:ascii="Trebuchet MS" w:hAnsi="Trebuchet MS"/>
          <w:sz w:val="20"/>
          <w:szCs w:val="20"/>
        </w:rPr>
        <w:t xml:space="preserve"> și va conduce la respingerea acesteia</w:t>
      </w:r>
      <w:r w:rsidRPr="006B6022">
        <w:rPr>
          <w:rFonts w:ascii="Trebuchet MS" w:hAnsi="Trebuchet MS"/>
          <w:sz w:val="20"/>
          <w:szCs w:val="20"/>
        </w:rPr>
        <w:t>.</w:t>
      </w:r>
    </w:p>
    <w:p w14:paraId="419C26F6" w14:textId="77777777" w:rsidR="00E70393" w:rsidRPr="00266833" w:rsidRDefault="00E70393" w:rsidP="00E70393">
      <w:pPr>
        <w:ind w:right="-210"/>
        <w:jc w:val="center"/>
        <w:rPr>
          <w:rFonts w:ascii="Trebuchet MS" w:hAnsi="Trebuchet MS"/>
          <w:sz w:val="20"/>
          <w:szCs w:val="20"/>
          <w:lang w:val="fr-FR"/>
        </w:rPr>
      </w:pPr>
    </w:p>
    <w:p w14:paraId="1E8F9205" w14:textId="77777777" w:rsidR="00E70393" w:rsidRPr="00266833" w:rsidRDefault="00E70393" w:rsidP="00E70393">
      <w:pPr>
        <w:jc w:val="both"/>
        <w:rPr>
          <w:rFonts w:ascii="Trebuchet MS" w:hAnsi="Trebuchet MS"/>
          <w:sz w:val="20"/>
          <w:szCs w:val="20"/>
        </w:rPr>
      </w:pPr>
    </w:p>
    <w:tbl>
      <w:tblPr>
        <w:tblW w:w="5587" w:type="pct"/>
        <w:tblInd w:w="-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13"/>
        <w:gridCol w:w="1511"/>
        <w:gridCol w:w="4918"/>
        <w:gridCol w:w="3273"/>
      </w:tblGrid>
      <w:tr w:rsidR="00E70393" w:rsidRPr="00266833" w14:paraId="2D732C14" w14:textId="77777777" w:rsidTr="003166E0">
        <w:trPr>
          <w:trHeight w:val="1070"/>
        </w:trPr>
        <w:tc>
          <w:tcPr>
            <w:tcW w:w="204" w:type="pct"/>
            <w:tcBorders>
              <w:top w:val="single" w:sz="8" w:space="0" w:color="000000"/>
              <w:left w:val="single" w:sz="8" w:space="0" w:color="000000"/>
              <w:bottom w:val="single" w:sz="8" w:space="0" w:color="000000"/>
              <w:right w:val="single" w:sz="8" w:space="0" w:color="000000"/>
            </w:tcBorders>
          </w:tcPr>
          <w:p w14:paraId="04E19DD1" w14:textId="77777777" w:rsidR="00E70393" w:rsidRPr="00266833" w:rsidRDefault="00E70393" w:rsidP="003166E0">
            <w:pPr>
              <w:spacing w:line="256" w:lineRule="auto"/>
              <w:jc w:val="center"/>
              <w:rPr>
                <w:rFonts w:ascii="Trebuchet MS" w:hAnsi="Trebuchet MS"/>
                <w:i/>
                <w:sz w:val="20"/>
                <w:szCs w:val="20"/>
              </w:rPr>
            </w:pPr>
          </w:p>
        </w:tc>
        <w:tc>
          <w:tcPr>
            <w:tcW w:w="74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6FFFCA" w14:textId="77777777" w:rsidR="00E70393" w:rsidRPr="00266833" w:rsidRDefault="00E70393" w:rsidP="003166E0">
            <w:pPr>
              <w:spacing w:line="256" w:lineRule="auto"/>
              <w:jc w:val="center"/>
              <w:rPr>
                <w:rFonts w:ascii="Trebuchet MS" w:hAnsi="Trebuchet MS"/>
                <w:i/>
                <w:sz w:val="20"/>
                <w:szCs w:val="20"/>
              </w:rPr>
            </w:pPr>
            <w:r w:rsidRPr="00266833">
              <w:rPr>
                <w:rFonts w:ascii="Trebuchet MS" w:hAnsi="Trebuchet MS"/>
                <w:i/>
                <w:sz w:val="20"/>
                <w:szCs w:val="20"/>
              </w:rPr>
              <w:t xml:space="preserve">Obiectiv de mediu evaluat </w:t>
            </w:r>
          </w:p>
          <w:p w14:paraId="09B4D050" w14:textId="77777777" w:rsidR="00E70393" w:rsidRPr="00266833" w:rsidRDefault="00E70393" w:rsidP="003166E0">
            <w:pPr>
              <w:spacing w:line="256" w:lineRule="auto"/>
              <w:jc w:val="center"/>
              <w:rPr>
                <w:rFonts w:ascii="Trebuchet MS" w:hAnsi="Trebuchet MS"/>
                <w:i/>
                <w:sz w:val="20"/>
                <w:szCs w:val="20"/>
              </w:rPr>
            </w:pPr>
            <w:r w:rsidRPr="00266833">
              <w:rPr>
                <w:rFonts w:ascii="Trebuchet MS" w:hAnsi="Trebuchet MS"/>
                <w:i/>
                <w:sz w:val="20"/>
                <w:szCs w:val="20"/>
              </w:rPr>
              <w:t xml:space="preserve">conform principiului DNSH </w:t>
            </w:r>
          </w:p>
        </w:tc>
        <w:tc>
          <w:tcPr>
            <w:tcW w:w="2431" w:type="pct"/>
            <w:tcBorders>
              <w:top w:val="single" w:sz="8" w:space="0" w:color="000000"/>
              <w:bottom w:val="single" w:sz="8" w:space="0" w:color="000000"/>
              <w:right w:val="single" w:sz="8" w:space="0" w:color="000000"/>
            </w:tcBorders>
            <w:tcMar>
              <w:top w:w="100" w:type="dxa"/>
              <w:left w:w="100" w:type="dxa"/>
              <w:bottom w:w="100" w:type="dxa"/>
              <w:right w:w="100" w:type="dxa"/>
            </w:tcMar>
          </w:tcPr>
          <w:p w14:paraId="78A83E10" w14:textId="77777777" w:rsidR="00E70393" w:rsidRPr="00266833" w:rsidRDefault="00E70393" w:rsidP="003166E0">
            <w:pPr>
              <w:spacing w:line="256" w:lineRule="auto"/>
              <w:jc w:val="center"/>
              <w:rPr>
                <w:rFonts w:ascii="Trebuchet MS" w:hAnsi="Trebuchet MS"/>
                <w:i/>
                <w:sz w:val="20"/>
                <w:szCs w:val="20"/>
              </w:rPr>
            </w:pPr>
            <w:r w:rsidRPr="00266833">
              <w:rPr>
                <w:rFonts w:ascii="Trebuchet MS" w:hAnsi="Trebuchet MS"/>
                <w:i/>
                <w:sz w:val="20"/>
                <w:szCs w:val="20"/>
              </w:rPr>
              <w:t xml:space="preserve">Justificarea respectării principiului DNSH </w:t>
            </w:r>
          </w:p>
          <w:p w14:paraId="6961E412" w14:textId="77777777" w:rsidR="00E70393" w:rsidRPr="00266833" w:rsidRDefault="00E70393" w:rsidP="003166E0">
            <w:pPr>
              <w:spacing w:line="256" w:lineRule="auto"/>
              <w:jc w:val="center"/>
              <w:rPr>
                <w:rFonts w:ascii="Trebuchet MS" w:hAnsi="Trebuchet MS"/>
                <w:i/>
                <w:sz w:val="20"/>
                <w:szCs w:val="20"/>
              </w:rPr>
            </w:pPr>
            <w:r w:rsidRPr="00266833">
              <w:rPr>
                <w:rFonts w:ascii="Trebuchet MS" w:hAnsi="Trebuchet MS"/>
                <w:i/>
                <w:sz w:val="20"/>
                <w:szCs w:val="20"/>
              </w:rPr>
              <w:t>pentru obiectivul de mediu relevant</w:t>
            </w:r>
          </w:p>
        </w:tc>
        <w:tc>
          <w:tcPr>
            <w:tcW w:w="1618" w:type="pct"/>
            <w:tcBorders>
              <w:top w:val="single" w:sz="8" w:space="0" w:color="000000"/>
              <w:bottom w:val="single" w:sz="8" w:space="0" w:color="000000"/>
              <w:right w:val="single" w:sz="8" w:space="0" w:color="000000"/>
            </w:tcBorders>
          </w:tcPr>
          <w:p w14:paraId="6B7774E8" w14:textId="77777777" w:rsidR="00E70393" w:rsidRPr="00266833" w:rsidRDefault="00E70393" w:rsidP="003166E0">
            <w:pPr>
              <w:spacing w:line="256" w:lineRule="auto"/>
              <w:jc w:val="center"/>
              <w:rPr>
                <w:rFonts w:ascii="Trebuchet MS" w:hAnsi="Trebuchet MS"/>
                <w:i/>
                <w:sz w:val="20"/>
                <w:szCs w:val="20"/>
              </w:rPr>
            </w:pPr>
            <w:r w:rsidRPr="00266833">
              <w:rPr>
                <w:rFonts w:ascii="Trebuchet MS" w:hAnsi="Trebuchet MS"/>
                <w:i/>
                <w:sz w:val="20"/>
                <w:szCs w:val="20"/>
              </w:rPr>
              <w:t xml:space="preserve">Modalitate de indeplinire </w:t>
            </w:r>
          </w:p>
          <w:p w14:paraId="60CCD779" w14:textId="77777777" w:rsidR="00E70393" w:rsidRPr="00266833" w:rsidRDefault="00E70393" w:rsidP="003166E0">
            <w:pPr>
              <w:spacing w:line="256" w:lineRule="auto"/>
              <w:jc w:val="center"/>
              <w:rPr>
                <w:rFonts w:ascii="Trebuchet MS" w:hAnsi="Trebuchet MS"/>
                <w:i/>
                <w:sz w:val="20"/>
                <w:szCs w:val="20"/>
              </w:rPr>
            </w:pPr>
            <w:r w:rsidRPr="00266833">
              <w:rPr>
                <w:rFonts w:ascii="Trebuchet MS" w:hAnsi="Trebuchet MS"/>
                <w:i/>
                <w:sz w:val="20"/>
                <w:szCs w:val="20"/>
              </w:rPr>
              <w:t>Ofertant</w:t>
            </w:r>
          </w:p>
        </w:tc>
      </w:tr>
      <w:tr w:rsidR="00E70393" w:rsidRPr="00266833" w14:paraId="7C746D60" w14:textId="77777777" w:rsidTr="003166E0">
        <w:trPr>
          <w:trHeight w:val="1070"/>
        </w:trPr>
        <w:tc>
          <w:tcPr>
            <w:tcW w:w="204" w:type="pct"/>
            <w:tcBorders>
              <w:left w:val="single" w:sz="8" w:space="0" w:color="000000"/>
              <w:bottom w:val="single" w:sz="8" w:space="0" w:color="000000"/>
              <w:right w:val="single" w:sz="8" w:space="0" w:color="000000"/>
            </w:tcBorders>
          </w:tcPr>
          <w:p w14:paraId="366EBD0E" w14:textId="77777777" w:rsidR="00E70393" w:rsidRPr="00266833" w:rsidRDefault="00E70393" w:rsidP="003166E0">
            <w:pPr>
              <w:spacing w:line="256" w:lineRule="auto"/>
              <w:jc w:val="center"/>
              <w:rPr>
                <w:rFonts w:ascii="Trebuchet MS" w:hAnsi="Trebuchet MS"/>
                <w:i/>
                <w:sz w:val="20"/>
                <w:szCs w:val="20"/>
              </w:rPr>
            </w:pPr>
            <w:r w:rsidRPr="00266833">
              <w:rPr>
                <w:rFonts w:ascii="Trebuchet MS" w:hAnsi="Trebuchet MS"/>
                <w:i/>
                <w:sz w:val="20"/>
                <w:szCs w:val="20"/>
              </w:rPr>
              <w:t>1.</w:t>
            </w:r>
          </w:p>
        </w:tc>
        <w:tc>
          <w:tcPr>
            <w:tcW w:w="747" w:type="pct"/>
            <w:tcBorders>
              <w:left w:val="single" w:sz="8" w:space="0" w:color="000000"/>
              <w:bottom w:val="single" w:sz="8" w:space="0" w:color="000000"/>
              <w:right w:val="single" w:sz="8" w:space="0" w:color="000000"/>
            </w:tcBorders>
            <w:shd w:val="clear" w:color="auto" w:fill="F6C5AC" w:themeFill="accent2" w:themeFillTint="66"/>
            <w:tcMar>
              <w:top w:w="100" w:type="dxa"/>
              <w:left w:w="100" w:type="dxa"/>
              <w:bottom w:w="100" w:type="dxa"/>
              <w:right w:w="100" w:type="dxa"/>
            </w:tcMar>
          </w:tcPr>
          <w:p w14:paraId="515787FE" w14:textId="77777777" w:rsidR="00E70393" w:rsidRPr="00266833" w:rsidRDefault="00E70393" w:rsidP="003166E0">
            <w:pPr>
              <w:spacing w:line="256" w:lineRule="auto"/>
              <w:jc w:val="center"/>
              <w:rPr>
                <w:rFonts w:ascii="Trebuchet MS" w:hAnsi="Trebuchet MS"/>
                <w:i/>
                <w:sz w:val="20"/>
                <w:szCs w:val="20"/>
              </w:rPr>
            </w:pPr>
            <w:r w:rsidRPr="00266833">
              <w:rPr>
                <w:rFonts w:ascii="Trebuchet MS" w:hAnsi="Trebuchet MS"/>
                <w:sz w:val="20"/>
                <w:szCs w:val="20"/>
              </w:rPr>
              <w:t>Atenuarea efectelor schimbărilor climatice</w:t>
            </w:r>
          </w:p>
        </w:tc>
        <w:tc>
          <w:tcPr>
            <w:tcW w:w="2431" w:type="pct"/>
            <w:tcBorders>
              <w:bottom w:val="single" w:sz="8" w:space="0" w:color="000000"/>
              <w:right w:val="single" w:sz="8" w:space="0" w:color="000000"/>
            </w:tcBorders>
            <w:tcMar>
              <w:top w:w="100" w:type="dxa"/>
              <w:left w:w="100" w:type="dxa"/>
              <w:bottom w:w="100" w:type="dxa"/>
              <w:right w:w="100" w:type="dxa"/>
            </w:tcMar>
          </w:tcPr>
          <w:p w14:paraId="11C0194C" w14:textId="2EDE5AD6" w:rsidR="00E70393" w:rsidRPr="00266833" w:rsidRDefault="00C168D6" w:rsidP="009C7E90">
            <w:pPr>
              <w:spacing w:line="256" w:lineRule="auto"/>
              <w:jc w:val="both"/>
              <w:rPr>
                <w:rFonts w:ascii="Trebuchet MS" w:hAnsi="Trebuchet MS"/>
                <w:sz w:val="20"/>
                <w:szCs w:val="20"/>
              </w:rPr>
            </w:pPr>
            <w:r w:rsidRPr="00C168D6">
              <w:rPr>
                <w:rFonts w:ascii="Trebuchet MS" w:hAnsi="Trebuchet MS"/>
                <w:sz w:val="20"/>
                <w:szCs w:val="20"/>
              </w:rPr>
              <w:t xml:space="preserve">Proiectul de mobilitate urbană din </w:t>
            </w:r>
            <w:r w:rsidR="00215B83">
              <w:rPr>
                <w:rFonts w:ascii="Trebuchet MS" w:hAnsi="Trebuchet MS"/>
                <w:sz w:val="20"/>
                <w:szCs w:val="20"/>
              </w:rPr>
              <w:t xml:space="preserve">UAT Orașul Novaci </w:t>
            </w:r>
            <w:r w:rsidRPr="00C168D6">
              <w:rPr>
                <w:rFonts w:ascii="Trebuchet MS" w:hAnsi="Trebuchet MS"/>
                <w:sz w:val="20"/>
                <w:szCs w:val="20"/>
              </w:rPr>
              <w:t>a fost conceput cu scopul de a reduce amprenta de carbon, integrând principii de eficiență energetică și sustenabilitate. Astfel, investiția contribuie direct la neutralitatea climatică, utilizând soluții prietenoase cu mediul pentru a optimiza infrastructura de transport urban.</w:t>
            </w:r>
            <w:r w:rsidR="00E70393" w:rsidRPr="00266833">
              <w:rPr>
                <w:rFonts w:ascii="Trebuchet MS" w:hAnsi="Trebuchet MS"/>
                <w:sz w:val="20"/>
                <w:szCs w:val="20"/>
              </w:rPr>
              <w:t>.</w:t>
            </w:r>
          </w:p>
          <w:p w14:paraId="11972E09" w14:textId="77777777" w:rsidR="00E70393" w:rsidRPr="00266833" w:rsidRDefault="00E70393" w:rsidP="003166E0">
            <w:pPr>
              <w:spacing w:line="256" w:lineRule="auto"/>
              <w:jc w:val="both"/>
              <w:rPr>
                <w:rFonts w:ascii="Trebuchet MS" w:hAnsi="Trebuchet MS"/>
                <w:sz w:val="20"/>
                <w:szCs w:val="20"/>
              </w:rPr>
            </w:pPr>
          </w:p>
          <w:p w14:paraId="6FCDD64D" w14:textId="77777777" w:rsidR="00E70393" w:rsidRPr="00266833" w:rsidRDefault="00E70393" w:rsidP="003166E0">
            <w:pPr>
              <w:spacing w:line="256" w:lineRule="auto"/>
              <w:jc w:val="both"/>
              <w:rPr>
                <w:rFonts w:ascii="Trebuchet MS" w:hAnsi="Trebuchet MS"/>
                <w:i/>
                <w:sz w:val="20"/>
                <w:szCs w:val="20"/>
              </w:rPr>
            </w:pPr>
            <w:r w:rsidRPr="00266833">
              <w:rPr>
                <w:rFonts w:ascii="Trebuchet MS" w:hAnsi="Trebuchet MS"/>
                <w:sz w:val="20"/>
                <w:szCs w:val="20"/>
              </w:rPr>
              <w:t xml:space="preserve">Aceste aspecte </w:t>
            </w:r>
            <w:r w:rsidRPr="00266833">
              <w:rPr>
                <w:rFonts w:ascii="Trebuchet MS" w:hAnsi="Trebuchet MS"/>
                <w:b/>
                <w:sz w:val="20"/>
                <w:szCs w:val="20"/>
              </w:rPr>
              <w:t>vor fi specificate în formularul de oferta</w:t>
            </w:r>
          </w:p>
        </w:tc>
        <w:tc>
          <w:tcPr>
            <w:tcW w:w="1618" w:type="pct"/>
            <w:tcBorders>
              <w:left w:val="single" w:sz="8" w:space="0" w:color="000000"/>
              <w:bottom w:val="single" w:sz="8" w:space="0" w:color="000000"/>
              <w:right w:val="single" w:sz="8" w:space="0" w:color="000000"/>
            </w:tcBorders>
          </w:tcPr>
          <w:p w14:paraId="46A3294E" w14:textId="77777777" w:rsidR="00E70393" w:rsidRPr="00266833" w:rsidRDefault="00E70393" w:rsidP="003166E0">
            <w:pPr>
              <w:spacing w:line="256" w:lineRule="auto"/>
              <w:rPr>
                <w:rFonts w:ascii="Trebuchet MS" w:hAnsi="Trebuchet MS"/>
                <w:i/>
                <w:sz w:val="20"/>
                <w:szCs w:val="20"/>
              </w:rPr>
            </w:pPr>
            <w:r w:rsidRPr="00266833">
              <w:rPr>
                <w:rFonts w:ascii="Trebuchet MS" w:hAnsi="Trebuchet MS"/>
                <w:color w:val="FF0000"/>
                <w:sz w:val="20"/>
                <w:szCs w:val="20"/>
              </w:rPr>
              <w:t>Se va preciza in mod clar si detaliat de catre ofertant prin completare in prezentul formular.</w:t>
            </w:r>
          </w:p>
        </w:tc>
      </w:tr>
      <w:tr w:rsidR="00E70393" w:rsidRPr="00266833" w14:paraId="6C403CC7" w14:textId="77777777" w:rsidTr="003166E0">
        <w:trPr>
          <w:trHeight w:val="1070"/>
        </w:trPr>
        <w:tc>
          <w:tcPr>
            <w:tcW w:w="204" w:type="pct"/>
            <w:tcBorders>
              <w:left w:val="single" w:sz="8" w:space="0" w:color="000000"/>
              <w:right w:val="single" w:sz="8" w:space="0" w:color="000000"/>
            </w:tcBorders>
          </w:tcPr>
          <w:p w14:paraId="1994E620" w14:textId="77777777" w:rsidR="00E70393" w:rsidRPr="00266833" w:rsidRDefault="00E70393" w:rsidP="003166E0">
            <w:pPr>
              <w:spacing w:line="256" w:lineRule="auto"/>
              <w:jc w:val="center"/>
              <w:rPr>
                <w:rFonts w:ascii="Trebuchet MS" w:hAnsi="Trebuchet MS"/>
                <w:i/>
                <w:sz w:val="20"/>
                <w:szCs w:val="20"/>
              </w:rPr>
            </w:pPr>
            <w:r w:rsidRPr="00266833">
              <w:rPr>
                <w:rFonts w:ascii="Trebuchet MS" w:hAnsi="Trebuchet MS"/>
                <w:sz w:val="20"/>
                <w:szCs w:val="20"/>
              </w:rPr>
              <w:t>2.</w:t>
            </w:r>
          </w:p>
        </w:tc>
        <w:tc>
          <w:tcPr>
            <w:tcW w:w="747" w:type="pct"/>
            <w:tcBorders>
              <w:left w:val="single" w:sz="8" w:space="0" w:color="000000"/>
              <w:bottom w:val="single" w:sz="8" w:space="0" w:color="000000"/>
              <w:right w:val="single" w:sz="8" w:space="0" w:color="000000"/>
            </w:tcBorders>
            <w:shd w:val="clear" w:color="auto" w:fill="F6C5AC" w:themeFill="accent2" w:themeFillTint="66"/>
            <w:tcMar>
              <w:top w:w="100" w:type="dxa"/>
              <w:left w:w="100" w:type="dxa"/>
              <w:bottom w:w="100" w:type="dxa"/>
              <w:right w:w="100" w:type="dxa"/>
            </w:tcMar>
          </w:tcPr>
          <w:p w14:paraId="004D22FC" w14:textId="77777777" w:rsidR="00E70393" w:rsidRPr="00266833" w:rsidRDefault="00E70393" w:rsidP="003166E0">
            <w:pPr>
              <w:spacing w:line="256" w:lineRule="auto"/>
              <w:jc w:val="center"/>
              <w:rPr>
                <w:rFonts w:ascii="Trebuchet MS" w:hAnsi="Trebuchet MS"/>
                <w:i/>
                <w:sz w:val="20"/>
                <w:szCs w:val="20"/>
              </w:rPr>
            </w:pPr>
            <w:r w:rsidRPr="00266833">
              <w:rPr>
                <w:rFonts w:ascii="Trebuchet MS" w:hAnsi="Trebuchet MS"/>
                <w:sz w:val="20"/>
                <w:szCs w:val="20"/>
              </w:rPr>
              <w:t>Adaptarea la efectele schimbărilor climatice</w:t>
            </w:r>
          </w:p>
        </w:tc>
        <w:tc>
          <w:tcPr>
            <w:tcW w:w="2431" w:type="pct"/>
            <w:tcBorders>
              <w:bottom w:val="single" w:sz="8" w:space="0" w:color="000000"/>
              <w:right w:val="single" w:sz="8" w:space="0" w:color="000000"/>
            </w:tcBorders>
            <w:tcMar>
              <w:top w:w="100" w:type="dxa"/>
              <w:left w:w="100" w:type="dxa"/>
              <w:bottom w:w="100" w:type="dxa"/>
              <w:right w:w="100" w:type="dxa"/>
            </w:tcMar>
          </w:tcPr>
          <w:p w14:paraId="08D5B039" w14:textId="77777777" w:rsidR="009C7E90" w:rsidRPr="009C7E90" w:rsidRDefault="009C7E90" w:rsidP="009C7E90">
            <w:pPr>
              <w:spacing w:after="240" w:line="256" w:lineRule="auto"/>
              <w:jc w:val="both"/>
              <w:rPr>
                <w:rFonts w:ascii="Trebuchet MS" w:hAnsi="Trebuchet MS"/>
                <w:sz w:val="20"/>
                <w:szCs w:val="20"/>
              </w:rPr>
            </w:pPr>
            <w:r w:rsidRPr="009C7E90">
              <w:rPr>
                <w:rFonts w:ascii="Trebuchet MS" w:hAnsi="Trebuchet MS"/>
                <w:sz w:val="20"/>
                <w:szCs w:val="20"/>
              </w:rPr>
              <w:t xml:space="preserve">Funcție de amplasarea investiției, vor fi determinate vulnerabilitățile din punct de vedere al condițiilor de mediu/climatice (inundații, ploi torențiale, temperaturi extreme, etc). </w:t>
            </w:r>
          </w:p>
          <w:p w14:paraId="08D63AA0" w14:textId="77777777" w:rsidR="009C7E90" w:rsidRPr="009C7E90" w:rsidRDefault="009C7E90" w:rsidP="009C7E90">
            <w:pPr>
              <w:spacing w:after="240" w:line="256" w:lineRule="auto"/>
              <w:jc w:val="both"/>
              <w:rPr>
                <w:rFonts w:ascii="Trebuchet MS" w:hAnsi="Trebuchet MS"/>
                <w:sz w:val="20"/>
                <w:szCs w:val="20"/>
              </w:rPr>
            </w:pPr>
            <w:r w:rsidRPr="009C7E90">
              <w:rPr>
                <w:rFonts w:ascii="Trebuchet MS" w:hAnsi="Trebuchet MS"/>
                <w:sz w:val="20"/>
                <w:szCs w:val="20"/>
              </w:rPr>
              <w:t>Prognozele acestor vulnerabilități pe durata de viață a investiței vor fi avute în vedere în faza de proiectare, cu impact asupra soluțiilor tehnice selectate.</w:t>
            </w:r>
          </w:p>
          <w:p w14:paraId="1D93BD48" w14:textId="77777777" w:rsidR="009C7E90" w:rsidRPr="009C7E90" w:rsidRDefault="009C7E90" w:rsidP="009C7E90">
            <w:pPr>
              <w:spacing w:after="240" w:line="256" w:lineRule="auto"/>
              <w:jc w:val="both"/>
              <w:rPr>
                <w:rFonts w:ascii="Trebuchet MS" w:hAnsi="Trebuchet MS"/>
                <w:sz w:val="20"/>
                <w:szCs w:val="20"/>
              </w:rPr>
            </w:pPr>
            <w:r w:rsidRPr="009C7E90">
              <w:rPr>
                <w:rFonts w:ascii="Trebuchet MS" w:hAnsi="Trebuchet MS"/>
                <w:sz w:val="20"/>
                <w:szCs w:val="20"/>
              </w:rPr>
              <w:t>Totodată se va urmări ca soluțiile de adaptare să nu afecteze în mod negativ eforturile de adaptare sau nivelul de reziliență la riscurile fizice legate de climă a altor persoane, a naturii, a activelor și a altor activități economice și să fie în concordanță cu eforturile de adaptare la nivel local.</w:t>
            </w:r>
          </w:p>
          <w:p w14:paraId="056FE9C4" w14:textId="77777777" w:rsidR="00E70393" w:rsidRPr="00266833" w:rsidRDefault="00E70393" w:rsidP="003166E0">
            <w:pPr>
              <w:spacing w:line="256" w:lineRule="auto"/>
              <w:rPr>
                <w:rFonts w:ascii="Trebuchet MS" w:hAnsi="Trebuchet MS"/>
                <w:sz w:val="20"/>
                <w:szCs w:val="20"/>
              </w:rPr>
            </w:pPr>
          </w:p>
          <w:p w14:paraId="3167C3D2" w14:textId="77777777" w:rsidR="00E70393" w:rsidRPr="00266833" w:rsidRDefault="00E70393" w:rsidP="003166E0">
            <w:pPr>
              <w:spacing w:line="256" w:lineRule="auto"/>
              <w:rPr>
                <w:rFonts w:ascii="Trebuchet MS" w:hAnsi="Trebuchet MS"/>
                <w:i/>
                <w:sz w:val="20"/>
                <w:szCs w:val="20"/>
              </w:rPr>
            </w:pPr>
            <w:r w:rsidRPr="00266833">
              <w:rPr>
                <w:rFonts w:ascii="Trebuchet MS" w:hAnsi="Trebuchet MS"/>
                <w:sz w:val="20"/>
                <w:szCs w:val="20"/>
              </w:rPr>
              <w:t xml:space="preserve">Aceste aspecte </w:t>
            </w:r>
            <w:r w:rsidRPr="00266833">
              <w:rPr>
                <w:rFonts w:ascii="Trebuchet MS" w:hAnsi="Trebuchet MS"/>
                <w:b/>
                <w:sz w:val="20"/>
                <w:szCs w:val="20"/>
              </w:rPr>
              <w:t>vor fi specificate în formularul de oferta</w:t>
            </w:r>
          </w:p>
        </w:tc>
        <w:tc>
          <w:tcPr>
            <w:tcW w:w="1618" w:type="pct"/>
            <w:tcBorders>
              <w:left w:val="single" w:sz="8" w:space="0" w:color="000000"/>
              <w:right w:val="single" w:sz="8" w:space="0" w:color="000000"/>
            </w:tcBorders>
          </w:tcPr>
          <w:p w14:paraId="74D00AEE" w14:textId="77777777" w:rsidR="00E70393" w:rsidRPr="00266833" w:rsidRDefault="00E70393" w:rsidP="003166E0">
            <w:pPr>
              <w:spacing w:line="256" w:lineRule="auto"/>
              <w:rPr>
                <w:rFonts w:ascii="Trebuchet MS" w:hAnsi="Trebuchet MS"/>
                <w:i/>
                <w:sz w:val="20"/>
                <w:szCs w:val="20"/>
              </w:rPr>
            </w:pPr>
            <w:r w:rsidRPr="00266833">
              <w:rPr>
                <w:rFonts w:ascii="Trebuchet MS" w:hAnsi="Trebuchet MS"/>
                <w:color w:val="FF0000"/>
                <w:sz w:val="20"/>
                <w:szCs w:val="20"/>
              </w:rPr>
              <w:t>Se va preciza in mod clar si detaliat de catre ofertant prin completare in prezentul formular.</w:t>
            </w:r>
          </w:p>
        </w:tc>
      </w:tr>
      <w:tr w:rsidR="00E70393" w:rsidRPr="00266833" w14:paraId="50B8F4AE" w14:textId="77777777" w:rsidTr="003166E0">
        <w:trPr>
          <w:trHeight w:val="2624"/>
        </w:trPr>
        <w:tc>
          <w:tcPr>
            <w:tcW w:w="204" w:type="pct"/>
            <w:tcBorders>
              <w:left w:val="single" w:sz="8" w:space="0" w:color="000000"/>
              <w:right w:val="single" w:sz="8" w:space="0" w:color="000000"/>
            </w:tcBorders>
          </w:tcPr>
          <w:p w14:paraId="776882EB"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lastRenderedPageBreak/>
              <w:t>3.</w:t>
            </w:r>
          </w:p>
        </w:tc>
        <w:tc>
          <w:tcPr>
            <w:tcW w:w="747" w:type="pct"/>
            <w:tcBorders>
              <w:left w:val="single" w:sz="8" w:space="0" w:color="000000"/>
              <w:bottom w:val="single" w:sz="8" w:space="0" w:color="000000"/>
              <w:right w:val="single" w:sz="8" w:space="0" w:color="000000"/>
            </w:tcBorders>
            <w:shd w:val="clear" w:color="auto" w:fill="F6C5AC" w:themeFill="accent2" w:themeFillTint="66"/>
            <w:tcMar>
              <w:top w:w="100" w:type="dxa"/>
              <w:left w:w="100" w:type="dxa"/>
              <w:bottom w:w="100" w:type="dxa"/>
              <w:right w:w="100" w:type="dxa"/>
            </w:tcMar>
          </w:tcPr>
          <w:p w14:paraId="7F736F79"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Economia circulară, prevenirea generării deșeurilor și reciclarea</w:t>
            </w:r>
          </w:p>
        </w:tc>
        <w:tc>
          <w:tcPr>
            <w:tcW w:w="2431" w:type="pct"/>
            <w:tcBorders>
              <w:bottom w:val="single" w:sz="8" w:space="0" w:color="000000"/>
              <w:right w:val="single" w:sz="8" w:space="0" w:color="000000"/>
            </w:tcBorders>
            <w:tcMar>
              <w:top w:w="100" w:type="dxa"/>
              <w:left w:w="100" w:type="dxa"/>
              <w:bottom w:w="100" w:type="dxa"/>
              <w:right w:w="100" w:type="dxa"/>
            </w:tcMar>
          </w:tcPr>
          <w:p w14:paraId="0A8869C6"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În implementare se va impune operatorilor economici care efectuează lucrări de construcții să se asigure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w:t>
            </w:r>
          </w:p>
          <w:p w14:paraId="2E4E8B4D"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Pentru echipamentele destinate producției de energie din surse regenerabile care pot fi instalate, în procesul de selecție a proiectelor se vor stabili specificații tehnice în ceea ce privește durabilitatea și potențialul lor de reparare și de reciclare.</w:t>
            </w:r>
          </w:p>
          <w:p w14:paraId="1642CF8F" w14:textId="77777777" w:rsidR="00E70393" w:rsidRPr="00266833" w:rsidRDefault="00E70393" w:rsidP="003166E0">
            <w:pPr>
              <w:spacing w:before="240"/>
              <w:jc w:val="both"/>
              <w:rPr>
                <w:rFonts w:ascii="Trebuchet MS" w:hAnsi="Trebuchet MS"/>
                <w:sz w:val="20"/>
                <w:szCs w:val="20"/>
              </w:rPr>
            </w:pPr>
            <w:r w:rsidRPr="00266833">
              <w:rPr>
                <w:rFonts w:ascii="Trebuchet MS" w:hAnsi="Trebuchet MS"/>
                <w:sz w:val="20"/>
                <w:szCs w:val="20"/>
              </w:rPr>
              <w:t>În special, operatorii vor limita generarea de deșeuri în procesele aferente construcțiilor și demolărilor,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w:t>
            </w:r>
          </w:p>
          <w:p w14:paraId="1C215879" w14:textId="77777777" w:rsidR="00E70393" w:rsidRPr="00266833" w:rsidRDefault="00E70393" w:rsidP="003166E0">
            <w:pPr>
              <w:spacing w:before="240"/>
              <w:jc w:val="both"/>
              <w:rPr>
                <w:rFonts w:ascii="Trebuchet MS" w:hAnsi="Trebuchet MS"/>
                <w:sz w:val="20"/>
                <w:szCs w:val="20"/>
              </w:rPr>
            </w:pPr>
            <w:r w:rsidRPr="00266833">
              <w:rPr>
                <w:rFonts w:ascii="Trebuchet MS" w:hAnsi="Trebuchet MS"/>
                <w:sz w:val="20"/>
                <w:szCs w:val="20"/>
              </w:rPr>
              <w:t>Se va avea în vedere ca echipamentele ce vor fi utilizate să îndeplinească cerinţe privind eficienţa utilizării materialelor și a altor resurse, în concordanţă cu prevederile Directivei 2009/125/CE de instituire a unui cadru pentru stabilirea cerințelor în materie de proiectare ecologică aplicabile produselor cu impact energetic.</w:t>
            </w:r>
          </w:p>
          <w:p w14:paraId="464BE449" w14:textId="77777777" w:rsidR="00E70393" w:rsidRPr="00266833" w:rsidRDefault="00E70393" w:rsidP="003166E0">
            <w:pPr>
              <w:spacing w:before="240"/>
              <w:jc w:val="both"/>
              <w:rPr>
                <w:rFonts w:ascii="Trebuchet MS" w:hAnsi="Trebuchet MS"/>
                <w:sz w:val="20"/>
                <w:szCs w:val="20"/>
              </w:rPr>
            </w:pPr>
            <w:r w:rsidRPr="00266833">
              <w:rPr>
                <w:rFonts w:ascii="Trebuchet MS" w:hAnsi="Trebuchet MS"/>
                <w:sz w:val="20"/>
                <w:szCs w:val="20"/>
              </w:rPr>
              <w:t xml:space="preserve">Aceste aspecte </w:t>
            </w:r>
            <w:r w:rsidRPr="00266833">
              <w:rPr>
                <w:rFonts w:ascii="Trebuchet MS" w:hAnsi="Trebuchet MS"/>
                <w:b/>
                <w:sz w:val="20"/>
                <w:szCs w:val="20"/>
              </w:rPr>
              <w:t>vor fi specificate în formularul de oferta</w:t>
            </w:r>
          </w:p>
        </w:tc>
        <w:tc>
          <w:tcPr>
            <w:tcW w:w="1618" w:type="pct"/>
            <w:tcBorders>
              <w:bottom w:val="single" w:sz="8" w:space="0" w:color="000000"/>
              <w:right w:val="single" w:sz="8" w:space="0" w:color="000000"/>
            </w:tcBorders>
          </w:tcPr>
          <w:p w14:paraId="6881A58D"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color w:val="FF0000"/>
                <w:sz w:val="20"/>
                <w:szCs w:val="20"/>
              </w:rPr>
              <w:t>Se va preciza in mod clar si detaliat de catre ofertant prin completare in prezentul formular.</w:t>
            </w:r>
          </w:p>
        </w:tc>
      </w:tr>
      <w:tr w:rsidR="00E70393" w:rsidRPr="00266833" w14:paraId="086790FF" w14:textId="77777777" w:rsidTr="003166E0">
        <w:trPr>
          <w:trHeight w:val="2624"/>
        </w:trPr>
        <w:tc>
          <w:tcPr>
            <w:tcW w:w="204" w:type="pct"/>
            <w:tcBorders>
              <w:left w:val="single" w:sz="8" w:space="0" w:color="000000"/>
              <w:right w:val="single" w:sz="8" w:space="0" w:color="000000"/>
            </w:tcBorders>
          </w:tcPr>
          <w:p w14:paraId="628F849C"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4</w:t>
            </w:r>
          </w:p>
        </w:tc>
        <w:tc>
          <w:tcPr>
            <w:tcW w:w="747" w:type="pct"/>
            <w:tcBorders>
              <w:left w:val="single" w:sz="8" w:space="0" w:color="000000"/>
              <w:bottom w:val="single" w:sz="8" w:space="0" w:color="000000"/>
              <w:right w:val="single" w:sz="8" w:space="0" w:color="000000"/>
            </w:tcBorders>
            <w:shd w:val="clear" w:color="auto" w:fill="F6C5AC" w:themeFill="accent2" w:themeFillTint="66"/>
            <w:tcMar>
              <w:top w:w="100" w:type="dxa"/>
              <w:left w:w="100" w:type="dxa"/>
              <w:bottom w:w="100" w:type="dxa"/>
              <w:right w:w="100" w:type="dxa"/>
            </w:tcMar>
          </w:tcPr>
          <w:p w14:paraId="36DF46DD"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Prevenirea și controlul poluării aerului, apei și solului</w:t>
            </w:r>
          </w:p>
        </w:tc>
        <w:tc>
          <w:tcPr>
            <w:tcW w:w="2431" w:type="pct"/>
            <w:tcBorders>
              <w:bottom w:val="single" w:sz="8" w:space="0" w:color="000000"/>
              <w:right w:val="single" w:sz="8" w:space="0" w:color="000000"/>
            </w:tcBorders>
            <w:tcMar>
              <w:top w:w="100" w:type="dxa"/>
              <w:left w:w="100" w:type="dxa"/>
              <w:bottom w:w="100" w:type="dxa"/>
              <w:right w:w="100" w:type="dxa"/>
            </w:tcMar>
          </w:tcPr>
          <w:p w14:paraId="2EAE5F3B"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Investiția nu va conduce la o creștere semnificativă a emisiilor de poluanți în aer, apă sau sol, deoarece:</w:t>
            </w:r>
          </w:p>
          <w:p w14:paraId="72883731"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În etapa de construcție, se vor asigura măsuri pentru a reduce zgomotul, praful și emisiile de poluanți pe parcursul derulării lucrărilor;</w:t>
            </w:r>
          </w:p>
          <w:p w14:paraId="6EBA4E0E"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 xml:space="preserve">Antreprenorii vor asigura măsuri privind calitatea aerului din interior, ce poate fi afectată de numeroși alţi factori cum ar fi utilizarea de ceruri și lacuri pentru suprafeţe, materialele de construcţie precum formaldehida din placaj și substanțele ignifuge din </w:t>
            </w:r>
            <w:r w:rsidRPr="00266833">
              <w:rPr>
                <w:rFonts w:ascii="Trebuchet MS" w:hAnsi="Trebuchet MS"/>
                <w:sz w:val="20"/>
                <w:szCs w:val="20"/>
              </w:rPr>
              <w:lastRenderedPageBreak/>
              <w:t>numeroase materiale sau radonul care provine, atât din soluri, cât și din materialele de construcţie.</w:t>
            </w:r>
          </w:p>
          <w:p w14:paraId="7C5167A4"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Antreprenorii vor asigura faptul că materialele și componentele de construcție utilizate nu vor conține azbest și nici substanțe care prezintă motive de îngrijorare deosebită, astfel cum au fost identificate pe baza listei substanțelor supuse autorizării prevăzute în anexa XIV la Regulamentul (CE) nr. 1907/2006;</w:t>
            </w:r>
          </w:p>
          <w:p w14:paraId="5A0208D2"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Antreprenorii vor asigura faptul că materialele și componentele de construcție utilizate, care pot intra în contact cu ocupanții, emit mai puțin de 0,06 mg de formaldehidă pe metru cub de material sau componentă și mai puțin de 0,001 mg de compuși organici volatili cancerigeni din categoriile 1A și 1B pe metru cub de material sau componentă, în urma testării în conformitate cu CEN/TS 16516 și ISO 16000-3 sau cu alte condiții de testare standardizate și metode de determinare comparabile.</w:t>
            </w:r>
          </w:p>
          <w:p w14:paraId="1B193F13"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-Deoarece atât fabricarea, cât și transportul materialelor generează emisii de gaze cu efect de seră, se recomandă folosirea materialelor disponibile cât mai aproape de locul construcției și a celor al căror proces de producție este cât se poate de prietenos cu mediul. Trebuie avută în vedere utilizarea produselor de construcții non-toxice, reciclabile și biodegradabile, fabricate la nivelul industriei locale, din materii prime produse în zonă, folosind tehnici care nu afectează mediul.</w:t>
            </w:r>
          </w:p>
          <w:p w14:paraId="32958D20"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În etapa de implementare, activitățile previzionate nu vor determina emisii de poluanți.</w:t>
            </w:r>
          </w:p>
          <w:p w14:paraId="2E53DA92"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 xml:space="preserve">Aceste aspecte </w:t>
            </w:r>
            <w:r w:rsidRPr="00266833">
              <w:rPr>
                <w:rFonts w:ascii="Trebuchet MS" w:hAnsi="Trebuchet MS"/>
                <w:b/>
                <w:sz w:val="20"/>
                <w:szCs w:val="20"/>
              </w:rPr>
              <w:t>vor fi specificate în formularul de oferta</w:t>
            </w:r>
          </w:p>
        </w:tc>
        <w:tc>
          <w:tcPr>
            <w:tcW w:w="1618" w:type="pct"/>
            <w:tcBorders>
              <w:bottom w:val="single" w:sz="8" w:space="0" w:color="000000"/>
              <w:right w:val="single" w:sz="8" w:space="0" w:color="000000"/>
            </w:tcBorders>
          </w:tcPr>
          <w:p w14:paraId="61F4D3A0" w14:textId="77777777" w:rsidR="00E70393" w:rsidRPr="00266833" w:rsidRDefault="00E70393" w:rsidP="003166E0">
            <w:pPr>
              <w:spacing w:after="240" w:line="256" w:lineRule="auto"/>
              <w:jc w:val="both"/>
              <w:rPr>
                <w:rFonts w:ascii="Trebuchet MS" w:hAnsi="Trebuchet MS"/>
                <w:color w:val="FF0000"/>
                <w:sz w:val="20"/>
                <w:szCs w:val="20"/>
              </w:rPr>
            </w:pPr>
            <w:r w:rsidRPr="00266833">
              <w:rPr>
                <w:rFonts w:ascii="Trebuchet MS" w:hAnsi="Trebuchet MS"/>
                <w:color w:val="FF0000"/>
                <w:sz w:val="20"/>
                <w:szCs w:val="20"/>
              </w:rPr>
              <w:lastRenderedPageBreak/>
              <w:t>Se va preciza in mod clar si detaliat de catre ofertant prin completare in prezentul formular.</w:t>
            </w:r>
          </w:p>
        </w:tc>
      </w:tr>
      <w:tr w:rsidR="00E70393" w:rsidRPr="00266833" w14:paraId="37E01410" w14:textId="77777777" w:rsidTr="003166E0">
        <w:trPr>
          <w:trHeight w:val="594"/>
        </w:trPr>
        <w:tc>
          <w:tcPr>
            <w:tcW w:w="204" w:type="pct"/>
            <w:tcBorders>
              <w:left w:val="single" w:sz="8" w:space="0" w:color="000000"/>
              <w:bottom w:val="single" w:sz="8" w:space="0" w:color="000000"/>
              <w:right w:val="single" w:sz="8" w:space="0" w:color="000000"/>
            </w:tcBorders>
          </w:tcPr>
          <w:p w14:paraId="08324162"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5.</w:t>
            </w:r>
          </w:p>
        </w:tc>
        <w:tc>
          <w:tcPr>
            <w:tcW w:w="747" w:type="pct"/>
            <w:tcBorders>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14:paraId="0B030FAA"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Protecția și utilizarea sustenabilă a resurselor de apă</w:t>
            </w:r>
          </w:p>
        </w:tc>
        <w:tc>
          <w:tcPr>
            <w:tcW w:w="2431" w:type="pct"/>
            <w:tcBorders>
              <w:bottom w:val="single" w:sz="8" w:space="0" w:color="000000"/>
              <w:right w:val="single" w:sz="8" w:space="0" w:color="000000"/>
            </w:tcBorders>
            <w:tcMar>
              <w:top w:w="100" w:type="dxa"/>
              <w:left w:w="100" w:type="dxa"/>
              <w:bottom w:w="100" w:type="dxa"/>
              <w:right w:w="100" w:type="dxa"/>
            </w:tcMar>
          </w:tcPr>
          <w:p w14:paraId="0F7CB60A"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Investiția va avea un impact previzibil nesemnificativ asupra acestui obiectiv de mediu, ținând seama atât de efectele directe, cât și de cele primare indirecte pe întreaga durată a ciclului de viață.</w:t>
            </w:r>
          </w:p>
          <w:p w14:paraId="3E6069D6"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Nu sunt identificabile riscuri de degradare a mediului legate de protejarea calității apei și de stresul hidric.</w:t>
            </w:r>
          </w:p>
          <w:p w14:paraId="13C9062B" w14:textId="77777777" w:rsidR="00E70393" w:rsidRPr="00266833" w:rsidRDefault="00E70393" w:rsidP="003166E0">
            <w:pPr>
              <w:spacing w:line="256" w:lineRule="auto"/>
              <w:jc w:val="both"/>
              <w:rPr>
                <w:rFonts w:ascii="Trebuchet MS" w:hAnsi="Trebuchet MS"/>
                <w:b/>
                <w:sz w:val="20"/>
                <w:szCs w:val="20"/>
              </w:rPr>
            </w:pPr>
          </w:p>
        </w:tc>
        <w:tc>
          <w:tcPr>
            <w:tcW w:w="1618" w:type="pct"/>
            <w:tcBorders>
              <w:bottom w:val="single" w:sz="8" w:space="0" w:color="000000"/>
              <w:right w:val="single" w:sz="8" w:space="0" w:color="000000"/>
            </w:tcBorders>
          </w:tcPr>
          <w:p w14:paraId="21FE67C7"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color w:val="FF0000"/>
                <w:sz w:val="20"/>
                <w:szCs w:val="20"/>
              </w:rPr>
              <w:t>Se va adapta si asuma de catre ofertant prin completare.</w:t>
            </w:r>
          </w:p>
        </w:tc>
      </w:tr>
      <w:tr w:rsidR="00E70393" w:rsidRPr="00266833" w14:paraId="44526588" w14:textId="77777777" w:rsidTr="003166E0">
        <w:trPr>
          <w:trHeight w:val="736"/>
        </w:trPr>
        <w:tc>
          <w:tcPr>
            <w:tcW w:w="204" w:type="pct"/>
            <w:tcBorders>
              <w:left w:val="single" w:sz="8" w:space="0" w:color="000000"/>
              <w:bottom w:val="single" w:sz="8" w:space="0" w:color="000000"/>
              <w:right w:val="single" w:sz="8" w:space="0" w:color="000000"/>
            </w:tcBorders>
          </w:tcPr>
          <w:p w14:paraId="2A6E6A54"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6.</w:t>
            </w:r>
          </w:p>
        </w:tc>
        <w:tc>
          <w:tcPr>
            <w:tcW w:w="747" w:type="pct"/>
            <w:tcBorders>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14:paraId="68F1DB0D" w14:textId="77777777" w:rsidR="00E70393" w:rsidRPr="00266833" w:rsidRDefault="00E70393" w:rsidP="003166E0">
            <w:pPr>
              <w:spacing w:line="256" w:lineRule="auto"/>
              <w:jc w:val="both"/>
              <w:rPr>
                <w:rFonts w:ascii="Trebuchet MS" w:hAnsi="Trebuchet MS"/>
                <w:sz w:val="20"/>
                <w:szCs w:val="20"/>
              </w:rPr>
            </w:pPr>
          </w:p>
          <w:p w14:paraId="216D66F4"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Prevenirea și controlul poluării aerului, apei și solului</w:t>
            </w:r>
          </w:p>
        </w:tc>
        <w:tc>
          <w:tcPr>
            <w:tcW w:w="2431" w:type="pct"/>
            <w:tcBorders>
              <w:bottom w:val="single" w:sz="8" w:space="0" w:color="000000"/>
              <w:right w:val="single" w:sz="8" w:space="0" w:color="000000"/>
            </w:tcBorders>
            <w:tcMar>
              <w:top w:w="100" w:type="dxa"/>
              <w:left w:w="100" w:type="dxa"/>
              <w:bottom w:w="100" w:type="dxa"/>
              <w:right w:w="100" w:type="dxa"/>
            </w:tcMar>
          </w:tcPr>
          <w:p w14:paraId="7D136153"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Investiția nu are un impact previzibil semnificativ asupra obiectivului de mediu privind prevenirea şi controlul poluării aerului, apei şi solului, lu</w:t>
            </w:r>
            <w:r w:rsidRPr="00266833">
              <w:rPr>
                <w:rFonts w:ascii="Calibri" w:hAnsi="Calibri" w:cs="Calibri"/>
                <w:sz w:val="20"/>
                <w:szCs w:val="20"/>
              </w:rPr>
              <w:t>ȃ</w:t>
            </w:r>
            <w:r w:rsidRPr="00266833">
              <w:rPr>
                <w:rFonts w:ascii="Trebuchet MS" w:hAnsi="Trebuchet MS"/>
                <w:sz w:val="20"/>
                <w:szCs w:val="20"/>
              </w:rPr>
              <w:t xml:space="preserve">nd </w:t>
            </w:r>
            <w:r w:rsidRPr="00266833">
              <w:rPr>
                <w:rFonts w:ascii="Trebuchet MS" w:hAnsi="Trebuchet MS" w:cs="Trebuchet MS"/>
                <w:sz w:val="20"/>
                <w:szCs w:val="20"/>
              </w:rPr>
              <w:t>î</w:t>
            </w:r>
            <w:r w:rsidRPr="00266833">
              <w:rPr>
                <w:rFonts w:ascii="Trebuchet MS" w:hAnsi="Trebuchet MS"/>
                <w:sz w:val="20"/>
                <w:szCs w:val="20"/>
              </w:rPr>
              <w:t xml:space="preserve">n considerare efectele directe </w:t>
            </w:r>
            <w:r w:rsidRPr="00266833">
              <w:rPr>
                <w:rFonts w:ascii="Trebuchet MS" w:hAnsi="Trebuchet MS" w:cs="Trebuchet MS"/>
                <w:sz w:val="20"/>
                <w:szCs w:val="20"/>
              </w:rPr>
              <w:t>ș</w:t>
            </w:r>
            <w:r w:rsidRPr="00266833">
              <w:rPr>
                <w:rFonts w:ascii="Trebuchet MS" w:hAnsi="Trebuchet MS"/>
                <w:sz w:val="20"/>
                <w:szCs w:val="20"/>
              </w:rPr>
              <w:t>i efectele primare indirecte de pe parcursul implement</w:t>
            </w:r>
            <w:r w:rsidRPr="00266833">
              <w:rPr>
                <w:rFonts w:ascii="Trebuchet MS" w:hAnsi="Trebuchet MS" w:cs="Trebuchet MS"/>
                <w:sz w:val="20"/>
                <w:szCs w:val="20"/>
              </w:rPr>
              <w:t>ă</w:t>
            </w:r>
            <w:r w:rsidRPr="00266833">
              <w:rPr>
                <w:rFonts w:ascii="Trebuchet MS" w:hAnsi="Trebuchet MS"/>
                <w:sz w:val="20"/>
                <w:szCs w:val="20"/>
              </w:rPr>
              <w:t>rii.</w:t>
            </w:r>
          </w:p>
          <w:p w14:paraId="6B89A051" w14:textId="77777777" w:rsidR="00E70393" w:rsidRPr="00266833" w:rsidRDefault="00E70393" w:rsidP="003166E0">
            <w:pPr>
              <w:spacing w:line="256" w:lineRule="auto"/>
              <w:jc w:val="both"/>
              <w:rPr>
                <w:rFonts w:ascii="Trebuchet MS" w:hAnsi="Trebuchet MS"/>
                <w:sz w:val="20"/>
                <w:szCs w:val="20"/>
              </w:rPr>
            </w:pPr>
          </w:p>
          <w:p w14:paraId="19D82450"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lastRenderedPageBreak/>
              <w:t>În etapa de execuţie a lucrărilor, constructorul va realiza un Plan de management al mediului care va identifica sursele de poluare și măsurile necesare de protectia mediului pe perioada de realizare a investitiilor.</w:t>
            </w:r>
          </w:p>
          <w:p w14:paraId="13F5BF4C" w14:textId="77777777" w:rsidR="00E70393" w:rsidRPr="00266833" w:rsidRDefault="00E70393" w:rsidP="003166E0">
            <w:pPr>
              <w:spacing w:line="256" w:lineRule="auto"/>
              <w:jc w:val="both"/>
              <w:rPr>
                <w:rFonts w:ascii="Trebuchet MS" w:hAnsi="Trebuchet MS"/>
                <w:sz w:val="20"/>
                <w:szCs w:val="20"/>
              </w:rPr>
            </w:pPr>
          </w:p>
          <w:p w14:paraId="55B87CDB" w14:textId="77777777" w:rsidR="00E70393" w:rsidRPr="00266833" w:rsidRDefault="00E70393" w:rsidP="003166E0">
            <w:pPr>
              <w:spacing w:line="256" w:lineRule="auto"/>
              <w:jc w:val="both"/>
              <w:rPr>
                <w:rFonts w:ascii="Trebuchet MS" w:hAnsi="Trebuchet MS"/>
                <w:b/>
                <w:sz w:val="20"/>
                <w:szCs w:val="20"/>
              </w:rPr>
            </w:pPr>
            <w:r w:rsidRPr="00266833">
              <w:rPr>
                <w:rFonts w:ascii="Trebuchet MS" w:hAnsi="Trebuchet MS"/>
                <w:b/>
                <w:sz w:val="20"/>
                <w:szCs w:val="20"/>
              </w:rPr>
              <w:t>Aceste aspecte vor fi specificate în formularul de oferta.</w:t>
            </w:r>
          </w:p>
          <w:p w14:paraId="219ACAE2" w14:textId="77777777" w:rsidR="00E70393" w:rsidRPr="00266833" w:rsidRDefault="00E70393" w:rsidP="003166E0">
            <w:pPr>
              <w:pBdr>
                <w:top w:val="nil"/>
                <w:left w:val="nil"/>
                <w:bottom w:val="nil"/>
                <w:right w:val="nil"/>
                <w:between w:val="nil"/>
              </w:pBdr>
              <w:jc w:val="both"/>
              <w:rPr>
                <w:rFonts w:ascii="Trebuchet MS" w:hAnsi="Trebuchet MS"/>
                <w:color w:val="000000"/>
                <w:sz w:val="20"/>
                <w:szCs w:val="20"/>
              </w:rPr>
            </w:pPr>
          </w:p>
        </w:tc>
        <w:tc>
          <w:tcPr>
            <w:tcW w:w="1618" w:type="pct"/>
            <w:tcBorders>
              <w:bottom w:val="single" w:sz="8" w:space="0" w:color="000000"/>
              <w:right w:val="single" w:sz="8" w:space="0" w:color="000000"/>
            </w:tcBorders>
          </w:tcPr>
          <w:p w14:paraId="4A65F41A"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color w:val="FF0000"/>
                <w:sz w:val="20"/>
                <w:szCs w:val="20"/>
              </w:rPr>
              <w:lastRenderedPageBreak/>
              <w:t xml:space="preserve">Se va adapta si asuma de catre ofertant prin completare. </w:t>
            </w:r>
          </w:p>
        </w:tc>
      </w:tr>
      <w:tr w:rsidR="00E70393" w:rsidRPr="00266833" w14:paraId="24F6DD54" w14:textId="77777777" w:rsidTr="003166E0">
        <w:trPr>
          <w:trHeight w:val="736"/>
        </w:trPr>
        <w:tc>
          <w:tcPr>
            <w:tcW w:w="204" w:type="pct"/>
            <w:tcBorders>
              <w:left w:val="single" w:sz="8" w:space="0" w:color="000000"/>
              <w:bottom w:val="single" w:sz="8" w:space="0" w:color="000000"/>
              <w:right w:val="single" w:sz="8" w:space="0" w:color="000000"/>
            </w:tcBorders>
          </w:tcPr>
          <w:p w14:paraId="280DF550"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7.</w:t>
            </w:r>
          </w:p>
        </w:tc>
        <w:tc>
          <w:tcPr>
            <w:tcW w:w="747" w:type="pct"/>
            <w:tcBorders>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14:paraId="3A88CEE9" w14:textId="77777777" w:rsidR="00E70393" w:rsidRPr="00266833" w:rsidRDefault="00E70393" w:rsidP="003166E0">
            <w:pPr>
              <w:spacing w:line="256" w:lineRule="auto"/>
              <w:jc w:val="both"/>
              <w:rPr>
                <w:rFonts w:ascii="Trebuchet MS" w:hAnsi="Trebuchet MS"/>
                <w:sz w:val="20"/>
                <w:szCs w:val="20"/>
              </w:rPr>
            </w:pPr>
            <w:r w:rsidRPr="00266833">
              <w:rPr>
                <w:rFonts w:ascii="Trebuchet MS" w:hAnsi="Trebuchet MS"/>
                <w:sz w:val="20"/>
                <w:szCs w:val="20"/>
              </w:rPr>
              <w:t>Protecția și refacerea biodiversității și ecosistemelor</w:t>
            </w:r>
          </w:p>
        </w:tc>
        <w:tc>
          <w:tcPr>
            <w:tcW w:w="2431" w:type="pct"/>
            <w:tcBorders>
              <w:bottom w:val="single" w:sz="8" w:space="0" w:color="000000"/>
              <w:right w:val="single" w:sz="8" w:space="0" w:color="000000"/>
            </w:tcBorders>
            <w:tcMar>
              <w:top w:w="100" w:type="dxa"/>
              <w:left w:w="100" w:type="dxa"/>
              <w:bottom w:w="100" w:type="dxa"/>
              <w:right w:w="100" w:type="dxa"/>
            </w:tcMar>
          </w:tcPr>
          <w:p w14:paraId="2D769A1C" w14:textId="26A107EB"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 xml:space="preserve">Investiția propusă vizează reabilitarea clădirilor ce adăpostesc servicii publice situate în interiorul localității </w:t>
            </w:r>
            <w:r w:rsidR="009C7E90">
              <w:rPr>
                <w:rFonts w:ascii="Trebuchet MS" w:hAnsi="Trebuchet MS"/>
                <w:sz w:val="20"/>
                <w:szCs w:val="20"/>
              </w:rPr>
              <w:t>Baia de Aramă</w:t>
            </w:r>
            <w:r w:rsidRPr="00266833">
              <w:rPr>
                <w:rFonts w:ascii="Trebuchet MS" w:hAnsi="Trebuchet MS"/>
                <w:sz w:val="20"/>
                <w:szCs w:val="20"/>
              </w:rPr>
              <w:t>.</w:t>
            </w:r>
          </w:p>
          <w:p w14:paraId="3A02F95E"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Amplasamentele propuse NU se vor suprapune cu zone sensibile din punctul de vedere al biodiversității sau în apropierea acestora (rețeaua de arii protejate Natura 2000, siturile naturale înscrise pe Lista patrimoniului mondial UNESCO și principalele zone de biodiversitate, precum și alte zone protejate etc).</w:t>
            </w:r>
          </w:p>
          <w:p w14:paraId="1F2552C8"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sz w:val="20"/>
                <w:szCs w:val="20"/>
              </w:rPr>
              <w:t>Se estimează că investiția nu va avea un impact previzibil semnificativ asupra obiectivului de mediu privind protecţia şi refacerea biodiversităţii şi ecosistemelor, lu</w:t>
            </w:r>
            <w:r w:rsidRPr="00266833">
              <w:rPr>
                <w:rFonts w:ascii="Calibri" w:hAnsi="Calibri" w:cs="Calibri"/>
                <w:sz w:val="20"/>
                <w:szCs w:val="20"/>
              </w:rPr>
              <w:t>ȃ</w:t>
            </w:r>
            <w:r w:rsidRPr="00266833">
              <w:rPr>
                <w:rFonts w:ascii="Trebuchet MS" w:hAnsi="Trebuchet MS"/>
                <w:sz w:val="20"/>
                <w:szCs w:val="20"/>
              </w:rPr>
              <w:t>nd în considerare efectele directe și efectele primare indirecte de pe parcursul implementării.</w:t>
            </w:r>
          </w:p>
          <w:p w14:paraId="75E58F01" w14:textId="77777777" w:rsidR="00E70393" w:rsidRPr="00266833" w:rsidRDefault="00E70393" w:rsidP="003166E0">
            <w:pPr>
              <w:spacing w:before="240" w:line="256" w:lineRule="auto"/>
              <w:jc w:val="both"/>
              <w:rPr>
                <w:rFonts w:ascii="Trebuchet MS" w:hAnsi="Trebuchet MS"/>
                <w:b/>
                <w:sz w:val="20"/>
                <w:szCs w:val="20"/>
              </w:rPr>
            </w:pPr>
            <w:r w:rsidRPr="00266833">
              <w:rPr>
                <w:rFonts w:ascii="Trebuchet MS" w:hAnsi="Trebuchet MS"/>
                <w:sz w:val="20"/>
                <w:szCs w:val="20"/>
              </w:rPr>
              <w:t xml:space="preserve">Realizarea lucrărilor de construcții nu va afecta: terenuri arabile și terenuri cultivate cu un nivel moderat până la ridicat al fertilității solului și al biodiversității sub pământ, terenuri care să  fie </w:t>
            </w:r>
            <w:r w:rsidRPr="00266833">
              <w:rPr>
                <w:rFonts w:ascii="Trebuchet MS" w:hAnsi="Trebuchet MS"/>
                <w:b/>
                <w:sz w:val="20"/>
                <w:szCs w:val="20"/>
              </w:rPr>
              <w:t xml:space="preserve"> </w:t>
            </w:r>
            <w:r w:rsidRPr="00266833">
              <w:rPr>
                <w:rFonts w:ascii="Trebuchet MS" w:hAnsi="Trebuchet MS"/>
                <w:bCs/>
                <w:sz w:val="20"/>
                <w:szCs w:val="20"/>
              </w:rPr>
              <w:t>recunoscute că au o valoare ridicată a biodiversității şi terenuri care servesc drept habitat al speciilor pe cale de dispariție (floră și faună) și nici terenuri forestiere (acoperite sau nu de arbori), alte terenuri împădurite sau terenuri care sunt acoperite parțial sau integral sau destinate să fie acoperite de arbori.</w:t>
            </w:r>
          </w:p>
          <w:p w14:paraId="02AC1D17" w14:textId="77777777" w:rsidR="00E70393" w:rsidRPr="00266833" w:rsidRDefault="00E70393" w:rsidP="003166E0">
            <w:pPr>
              <w:spacing w:before="240" w:line="256" w:lineRule="auto"/>
              <w:jc w:val="both"/>
              <w:rPr>
                <w:rFonts w:ascii="Trebuchet MS" w:hAnsi="Trebuchet MS"/>
                <w:b/>
                <w:sz w:val="20"/>
                <w:szCs w:val="20"/>
              </w:rPr>
            </w:pPr>
            <w:r w:rsidRPr="00266833">
              <w:rPr>
                <w:rFonts w:ascii="Trebuchet MS" w:hAnsi="Trebuchet MS"/>
                <w:b/>
                <w:sz w:val="20"/>
                <w:szCs w:val="20"/>
              </w:rPr>
              <w:t>Aceste aspecte vor fi specificate în formularul de oferta.</w:t>
            </w:r>
          </w:p>
        </w:tc>
        <w:tc>
          <w:tcPr>
            <w:tcW w:w="1618" w:type="pct"/>
            <w:tcBorders>
              <w:bottom w:val="single" w:sz="8" w:space="0" w:color="000000"/>
              <w:right w:val="single" w:sz="8" w:space="0" w:color="000000"/>
            </w:tcBorders>
          </w:tcPr>
          <w:p w14:paraId="1FE4BB6C" w14:textId="77777777" w:rsidR="00E70393" w:rsidRPr="00266833" w:rsidRDefault="00E70393" w:rsidP="003166E0">
            <w:pPr>
              <w:spacing w:after="240" w:line="256" w:lineRule="auto"/>
              <w:jc w:val="both"/>
              <w:rPr>
                <w:rFonts w:ascii="Trebuchet MS" w:hAnsi="Trebuchet MS"/>
                <w:sz w:val="20"/>
                <w:szCs w:val="20"/>
              </w:rPr>
            </w:pPr>
            <w:r w:rsidRPr="00266833">
              <w:rPr>
                <w:rFonts w:ascii="Trebuchet MS" w:hAnsi="Trebuchet MS"/>
                <w:color w:val="FF0000"/>
                <w:sz w:val="20"/>
                <w:szCs w:val="20"/>
              </w:rPr>
              <w:t>Se va adapta si asuma de catre ofertant prin completare.</w:t>
            </w:r>
          </w:p>
        </w:tc>
      </w:tr>
    </w:tbl>
    <w:p w14:paraId="2D95A7BF" w14:textId="77777777" w:rsidR="00E70393" w:rsidRPr="00266833" w:rsidRDefault="00E70393" w:rsidP="00E70393">
      <w:pPr>
        <w:jc w:val="both"/>
        <w:rPr>
          <w:rFonts w:ascii="Trebuchet MS" w:hAnsi="Trebuchet MS"/>
          <w:b/>
          <w:sz w:val="20"/>
          <w:szCs w:val="20"/>
        </w:rPr>
      </w:pPr>
    </w:p>
    <w:p w14:paraId="6151281F" w14:textId="77777777" w:rsidR="00E70393" w:rsidRPr="00266833" w:rsidRDefault="00E70393" w:rsidP="00E70393">
      <w:pPr>
        <w:rPr>
          <w:rFonts w:ascii="Trebuchet MS" w:hAnsi="Trebuchet MS"/>
          <w:sz w:val="20"/>
          <w:szCs w:val="20"/>
        </w:rPr>
      </w:pPr>
    </w:p>
    <w:p w14:paraId="017D1005" w14:textId="77777777" w:rsidR="00E70393" w:rsidRPr="00266833" w:rsidRDefault="00E70393" w:rsidP="00E70393">
      <w:pPr>
        <w:ind w:right="-210"/>
        <w:jc w:val="center"/>
        <w:rPr>
          <w:rFonts w:ascii="Trebuchet MS" w:hAnsi="Trebuchet MS"/>
          <w:b/>
          <w:noProof/>
          <w:sz w:val="20"/>
          <w:szCs w:val="20"/>
          <w:lang w:val="en-US" w:eastAsia="ro-RO"/>
        </w:rPr>
      </w:pPr>
      <w:r w:rsidRPr="00266833">
        <w:rPr>
          <w:rFonts w:ascii="Trebuchet MS" w:hAnsi="Trebuchet MS"/>
          <w:b/>
          <w:noProof/>
          <w:sz w:val="20"/>
          <w:szCs w:val="20"/>
          <w:lang w:val="en-US" w:eastAsia="ro-RO"/>
        </w:rPr>
        <w:t>OFERTANT</w:t>
      </w:r>
    </w:p>
    <w:p w14:paraId="35DC52BA" w14:textId="77777777" w:rsidR="00E70393" w:rsidRPr="00266833" w:rsidRDefault="00E70393" w:rsidP="00E70393">
      <w:pPr>
        <w:ind w:right="-210"/>
        <w:jc w:val="center"/>
        <w:rPr>
          <w:rFonts w:ascii="Trebuchet MS" w:hAnsi="Trebuchet MS"/>
          <w:b/>
          <w:noProof/>
          <w:sz w:val="20"/>
          <w:szCs w:val="20"/>
          <w:lang w:val="en-US" w:eastAsia="ro-RO"/>
        </w:rPr>
      </w:pPr>
      <w:r w:rsidRPr="00266833">
        <w:rPr>
          <w:rFonts w:ascii="Trebuchet MS" w:hAnsi="Trebuchet MS"/>
          <w:b/>
          <w:noProof/>
          <w:sz w:val="20"/>
          <w:szCs w:val="20"/>
          <w:lang w:val="en-US" w:eastAsia="ro-RO"/>
        </w:rPr>
        <w:t>…………..</w:t>
      </w:r>
    </w:p>
    <w:p w14:paraId="062E22F1" w14:textId="77777777" w:rsidR="006B62B4" w:rsidRDefault="006B62B4"/>
    <w:sectPr w:rsidR="006B6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93"/>
    <w:rsid w:val="000339E2"/>
    <w:rsid w:val="00040833"/>
    <w:rsid w:val="0006463F"/>
    <w:rsid w:val="00087359"/>
    <w:rsid w:val="000C6EE4"/>
    <w:rsid w:val="00117008"/>
    <w:rsid w:val="001645A4"/>
    <w:rsid w:val="001C26EC"/>
    <w:rsid w:val="00215B83"/>
    <w:rsid w:val="00294F6B"/>
    <w:rsid w:val="002A11A4"/>
    <w:rsid w:val="002D16A6"/>
    <w:rsid w:val="00347150"/>
    <w:rsid w:val="004832C1"/>
    <w:rsid w:val="004A5E77"/>
    <w:rsid w:val="004D53E7"/>
    <w:rsid w:val="00501E03"/>
    <w:rsid w:val="00541F88"/>
    <w:rsid w:val="005B721D"/>
    <w:rsid w:val="006B6022"/>
    <w:rsid w:val="006B62B4"/>
    <w:rsid w:val="0071776D"/>
    <w:rsid w:val="00746800"/>
    <w:rsid w:val="008721B7"/>
    <w:rsid w:val="00875C14"/>
    <w:rsid w:val="008A2F98"/>
    <w:rsid w:val="009C7E90"/>
    <w:rsid w:val="00A133A6"/>
    <w:rsid w:val="00A21B97"/>
    <w:rsid w:val="00A46503"/>
    <w:rsid w:val="00B91556"/>
    <w:rsid w:val="00BA3D26"/>
    <w:rsid w:val="00C168D6"/>
    <w:rsid w:val="00C935AC"/>
    <w:rsid w:val="00CE505B"/>
    <w:rsid w:val="00DC546D"/>
    <w:rsid w:val="00E0685E"/>
    <w:rsid w:val="00E46286"/>
    <w:rsid w:val="00E70393"/>
    <w:rsid w:val="00ED6163"/>
    <w:rsid w:val="00F3096C"/>
    <w:rsid w:val="00F73F9D"/>
    <w:rsid w:val="00FC1D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818B"/>
  <w15:chartTrackingRefBased/>
  <w15:docId w15:val="{3049C308-F0AF-4B87-B110-784A789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9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70393"/>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0393"/>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0393"/>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0393"/>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70393"/>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70393"/>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70393"/>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70393"/>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70393"/>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393"/>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E70393"/>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E70393"/>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E70393"/>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E70393"/>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E70393"/>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E70393"/>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E70393"/>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E70393"/>
    <w:rPr>
      <w:rFonts w:eastAsiaTheme="majorEastAsia" w:cstheme="majorBidi"/>
      <w:noProof/>
      <w:color w:val="272727" w:themeColor="text1" w:themeTint="D8"/>
    </w:rPr>
  </w:style>
  <w:style w:type="paragraph" w:styleId="Title">
    <w:name w:val="Title"/>
    <w:basedOn w:val="Normal"/>
    <w:next w:val="Normal"/>
    <w:link w:val="TitleChar"/>
    <w:uiPriority w:val="10"/>
    <w:qFormat/>
    <w:rsid w:val="00E70393"/>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TitleChar">
    <w:name w:val="Title Char"/>
    <w:basedOn w:val="DefaultParagraphFont"/>
    <w:link w:val="Title"/>
    <w:uiPriority w:val="10"/>
    <w:rsid w:val="00E70393"/>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E70393"/>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0393"/>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E70393"/>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70393"/>
    <w:rPr>
      <w:i/>
      <w:iCs/>
      <w:noProof/>
      <w:color w:val="404040" w:themeColor="text1" w:themeTint="BF"/>
    </w:rPr>
  </w:style>
  <w:style w:type="paragraph" w:styleId="ListParagraph">
    <w:name w:val="List Paragraph"/>
    <w:basedOn w:val="Normal"/>
    <w:uiPriority w:val="34"/>
    <w:qFormat/>
    <w:rsid w:val="00E70393"/>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IntenseEmphasis">
    <w:name w:val="Intense Emphasis"/>
    <w:basedOn w:val="DefaultParagraphFont"/>
    <w:uiPriority w:val="21"/>
    <w:qFormat/>
    <w:rsid w:val="00E70393"/>
    <w:rPr>
      <w:i/>
      <w:iCs/>
      <w:color w:val="0F4761" w:themeColor="accent1" w:themeShade="BF"/>
    </w:rPr>
  </w:style>
  <w:style w:type="paragraph" w:styleId="IntenseQuote">
    <w:name w:val="Intense Quote"/>
    <w:basedOn w:val="Normal"/>
    <w:next w:val="Normal"/>
    <w:link w:val="IntenseQuoteChar"/>
    <w:uiPriority w:val="30"/>
    <w:qFormat/>
    <w:rsid w:val="00E703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70393"/>
    <w:rPr>
      <w:i/>
      <w:iCs/>
      <w:noProof/>
      <w:color w:val="0F4761" w:themeColor="accent1" w:themeShade="BF"/>
    </w:rPr>
  </w:style>
  <w:style w:type="character" w:styleId="IntenseReference">
    <w:name w:val="Intense Reference"/>
    <w:basedOn w:val="DefaultParagraphFont"/>
    <w:uiPriority w:val="32"/>
    <w:qFormat/>
    <w:rsid w:val="00E703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1326</Words>
  <Characters>7830</Characters>
  <Application>Microsoft Office Word</Application>
  <DocSecurity>0</DocSecurity>
  <Lines>252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Bogdan</dc:creator>
  <cp:keywords/>
  <dc:description/>
  <cp:lastModifiedBy>Manuela Bogdan</cp:lastModifiedBy>
  <cp:revision>6</cp:revision>
  <dcterms:created xsi:type="dcterms:W3CDTF">2024-03-13T04:56:00Z</dcterms:created>
  <dcterms:modified xsi:type="dcterms:W3CDTF">2026-01-14T08:35:00Z</dcterms:modified>
</cp:coreProperties>
</file>