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EBE5" w14:textId="62553BFD" w:rsidR="006732DF" w:rsidRDefault="006732DF">
      <w:pPr>
        <w:rPr>
          <w:rFonts w:ascii="Times New Roman" w:hAnsi="Times New Roman" w:cs="Times New Roman"/>
          <w:b/>
          <w:bCs/>
        </w:rPr>
      </w:pPr>
      <w:r w:rsidRPr="006732DF">
        <w:rPr>
          <w:rFonts w:ascii="Times New Roman" w:hAnsi="Times New Roman" w:cs="Times New Roman"/>
          <w:b/>
          <w:bCs/>
        </w:rPr>
        <w:t xml:space="preserve">ANEXA Nr. 3 </w:t>
      </w:r>
      <w:proofErr w:type="spellStart"/>
      <w:r w:rsidRPr="006732DF">
        <w:rPr>
          <w:rFonts w:ascii="Times New Roman" w:hAnsi="Times New Roman" w:cs="Times New Roman"/>
          <w:b/>
          <w:bCs/>
        </w:rPr>
        <w:t>Experiența</w:t>
      </w:r>
      <w:proofErr w:type="spellEnd"/>
      <w:r w:rsidRPr="006732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2DF">
        <w:rPr>
          <w:rFonts w:ascii="Times New Roman" w:hAnsi="Times New Roman" w:cs="Times New Roman"/>
          <w:b/>
          <w:bCs/>
        </w:rPr>
        <w:t>similar</w:t>
      </w:r>
      <w:r>
        <w:rPr>
          <w:rFonts w:ascii="Times New Roman" w:hAnsi="Times New Roman" w:cs="Times New Roman"/>
          <w:b/>
          <w:bCs/>
        </w:rPr>
        <w:t>ă</w:t>
      </w:r>
      <w:proofErr w:type="spellEnd"/>
    </w:p>
    <w:p w14:paraId="4BF6208A" w14:textId="3C4B26C6" w:rsidR="006732DF" w:rsidRPr="006732DF" w:rsidRDefault="006732DF">
      <w:pPr>
        <w:rPr>
          <w:rFonts w:ascii="Times New Roman" w:hAnsi="Times New Roman" w:cs="Times New Roman"/>
          <w:b/>
          <w:bCs/>
        </w:rPr>
      </w:pPr>
      <w:r w:rsidRPr="006732DF">
        <w:rPr>
          <w:rFonts w:ascii="Times New Roman" w:hAnsi="Times New Roman" w:cs="Times New Roman"/>
          <w:b/>
          <w:bCs/>
          <w:spacing w:val="-1"/>
          <w:lang w:val="pt-PT" w:eastAsia="ja-JP"/>
        </w:rPr>
        <w:t>Capacitatea tehnică și/sau profesională:</w:t>
      </w:r>
    </w:p>
    <w:tbl>
      <w:tblPr>
        <w:tblW w:w="5583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9"/>
        <w:gridCol w:w="4861"/>
      </w:tblGrid>
      <w:tr w:rsidR="008B182B" w:rsidRPr="006732DF" w14:paraId="2D2712FD" w14:textId="77777777" w:rsidTr="006732DF"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3A8" w14:textId="77777777" w:rsidR="008B182B" w:rsidRPr="008B182B" w:rsidRDefault="008B182B" w:rsidP="008B182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2B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Cerinţa nr. 1 – Experien</w:t>
            </w:r>
            <w:proofErr w:type="spellStart"/>
            <w:r w:rsidRPr="008B182B">
              <w:rPr>
                <w:rFonts w:ascii="Times New Roman" w:hAnsi="Times New Roman" w:cs="Times New Roman"/>
                <w:b/>
                <w:sz w:val="22"/>
                <w:szCs w:val="22"/>
              </w:rPr>
              <w:t>ță</w:t>
            </w:r>
            <w:proofErr w:type="spellEnd"/>
            <w:r w:rsidRPr="008B18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b/>
                <w:sz w:val="22"/>
                <w:szCs w:val="22"/>
              </w:rPr>
              <w:t>similară</w:t>
            </w:r>
            <w:proofErr w:type="spellEnd"/>
          </w:p>
          <w:p w14:paraId="6E35408A" w14:textId="77777777" w:rsidR="008B182B" w:rsidRPr="008B182B" w:rsidRDefault="008B182B" w:rsidP="008B18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pt-BR"/>
              </w:rPr>
            </w:pPr>
          </w:p>
          <w:p w14:paraId="379B9F32" w14:textId="7B0644A1" w:rsidR="008B182B" w:rsidRPr="008B182B" w:rsidRDefault="008B182B" w:rsidP="008B18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77A" w14:textId="5CA530B8" w:rsidR="008B182B" w:rsidRPr="008B182B" w:rsidRDefault="008B182B" w:rsidP="0090177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lang w:eastAsia="ja-JP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M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o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da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li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t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a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t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e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a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 xml:space="preserve"> 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de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 xml:space="preserve"> 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î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n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d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e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p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li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ni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1"/>
                <w:lang w:eastAsia="ja-JP"/>
              </w:rPr>
              <w:t>r</w:t>
            </w:r>
            <w:r w:rsidRPr="008B182B">
              <w:rPr>
                <w:rFonts w:ascii="Times New Roman" w:hAnsi="Times New Roman" w:cs="Times New Roman"/>
                <w:b/>
                <w:color w:val="000000"/>
                <w:spacing w:val="-2"/>
                <w:lang w:eastAsia="ja-JP"/>
              </w:rPr>
              <w:t>e</w:t>
            </w:r>
            <w:r w:rsidRPr="008B182B">
              <w:rPr>
                <w:rFonts w:ascii="Times New Roman" w:hAnsi="Times New Roman" w:cs="Times New Roman"/>
                <w:b/>
                <w:color w:val="000000"/>
                <w:lang w:eastAsia="ja-JP"/>
              </w:rPr>
              <w:t>:</w:t>
            </w:r>
          </w:p>
          <w:p w14:paraId="4529057A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Nota 1: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Dacă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grup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operatori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economici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depune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o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comună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cerinţa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se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demonstrează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luarea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considerare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a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resurselor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tuturor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membrilor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grupului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.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aceasta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situaţie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ofertantul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asociat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completa DUAE -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Partea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IV "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Criteriile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selecţie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" -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Secţiunea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 "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Capacitatea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tehnică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profesională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".</w:t>
            </w:r>
          </w:p>
          <w:p w14:paraId="51C3F136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asemenea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împreună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DUAE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este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obligatorie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încărcarea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SEAP a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Acordului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Asociere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semnătură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electronică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extinsă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bazată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pe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calificat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eliberat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furnizor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servicii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certificare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acreditat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condiţiile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legii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.</w:t>
            </w:r>
          </w:p>
          <w:p w14:paraId="650980ED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Nota 2: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vederea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îndeplinirii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cerinţei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ofertantul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poate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beneficia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susţinerea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unui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/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unor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terţ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/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terţi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.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acest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sens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fi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respectate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prevederile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art. 182 din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Legea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nr. 98/2016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ale art. 48 din HG nr. 395/2016. </w:t>
            </w:r>
          </w:p>
          <w:p w14:paraId="38A3FBE9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</w:pPr>
          </w:p>
          <w:p w14:paraId="0603DE22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Nota 3: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Terţul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susţinător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completa DUAE -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Partea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IV "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Criteriile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selecţie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" -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Secţiunea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 "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Capacitatea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tehnică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profesională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".</w:t>
            </w:r>
          </w:p>
          <w:p w14:paraId="5D6D7293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</w:pPr>
          </w:p>
          <w:p w14:paraId="4AD16265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Nota 4: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cazul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care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beneficiază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susţinere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din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partea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unui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terţ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ofertantul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prezenta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:</w:t>
            </w:r>
          </w:p>
          <w:p w14:paraId="5DB8933B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a)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Angajamentul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ferm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susţinerea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capacităţii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tehnice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acordată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terţul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susţinător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.</w:t>
            </w:r>
          </w:p>
          <w:p w14:paraId="0CF536C6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Angajamentul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ferm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fi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încărcat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mod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obligatoriu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SEAP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împreună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DUAE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fi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semnătură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electronică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extinsă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bazată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pe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calificat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eliberat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furnizor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servicii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certificare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acreditat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condiţiile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legii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.</w:t>
            </w:r>
          </w:p>
          <w:p w14:paraId="3642F278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b)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documentele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indicate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cadrul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angajamentului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ferm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din care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rezulte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modul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efectiv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care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terţul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susţinător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asigură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îndeplinirea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obligaţiilor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asumate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prin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angajament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. </w:t>
            </w:r>
          </w:p>
          <w:p w14:paraId="415CA356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Aceste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documente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fi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încărcate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mod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obligatoriu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SEAP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împreună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Angajamentul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ferm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cu DUAE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şi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fi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semnătură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electronică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extinsă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bazată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pe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calificat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eliberat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un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furnizor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servicii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certificare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acreditat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condiţiile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legii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.</w:t>
            </w:r>
          </w:p>
          <w:p w14:paraId="19F2E77F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o-RO"/>
              </w:rPr>
              <w:t>c)</w:t>
            </w: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doc./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recomandări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emise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beneficiarul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lucrărilor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/PV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recepţie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la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terminarea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lucrărilor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/ PV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recepţie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finală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/ Doc constat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emise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autorit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contract/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Certificări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bună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execuţie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din care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reiasă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toate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element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necesare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pentru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confirm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îndeplinirii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cerinţei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capacit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tehnică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.</w:t>
            </w:r>
          </w:p>
          <w:p w14:paraId="16A7B108" w14:textId="77777777" w:rsidR="008B182B" w:rsidRPr="008B182B" w:rsidRDefault="008B182B" w:rsidP="008B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lastRenderedPageBreak/>
              <w:t xml:space="preserve">Doc.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menţionate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la pct c)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vor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fi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prezentate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ofertant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clasat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pe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primul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loc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după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aplicarea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criteriului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atribuire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, anterior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atribuirii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contract. la solicit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Autorit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Contr., cu respect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cerinţelor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privind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semnarea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electronică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 a doc.</w:t>
            </w:r>
          </w:p>
          <w:p w14:paraId="5B6AD981" w14:textId="718E8703" w:rsidR="008B182B" w:rsidRPr="008B182B" w:rsidRDefault="008B182B" w:rsidP="00197B24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</w:pPr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Inf.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supliment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. </w:t>
            </w:r>
            <w:proofErr w:type="spellStart"/>
            <w:proofErr w:type="gram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privind</w:t>
            </w:r>
            <w:proofErr w:type="spellEnd"/>
            <w:proofErr w:type="gram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terţii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susţinători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se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regăsesc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în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secţiunea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IV.4.3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Modul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prezentare</w:t>
            </w:r>
            <w:proofErr w:type="spellEnd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 xml:space="preserve"> a </w:t>
            </w:r>
            <w:proofErr w:type="spellStart"/>
            <w:r w:rsidRPr="008B182B">
              <w:rPr>
                <w:rFonts w:ascii="Times New Roman" w:hAnsi="Times New Roman" w:cs="Times New Roman"/>
                <w:color w:val="000000"/>
                <w:sz w:val="22"/>
                <w:szCs w:val="22"/>
                <w:lang w:val="fr-FR" w:eastAsia="ro-RO"/>
              </w:rPr>
              <w:t>ofertei</w:t>
            </w:r>
            <w:proofErr w:type="spellEnd"/>
          </w:p>
        </w:tc>
      </w:tr>
    </w:tbl>
    <w:p w14:paraId="32428073" w14:textId="77777777" w:rsidR="006732DF" w:rsidRPr="006732DF" w:rsidRDefault="006732DF">
      <w:pPr>
        <w:rPr>
          <w:rFonts w:ascii="Times New Roman" w:hAnsi="Times New Roman" w:cs="Times New Roman"/>
          <w:lang w:val="ro-RO"/>
        </w:rPr>
      </w:pPr>
    </w:p>
    <w:sectPr w:rsidR="006732DF" w:rsidRPr="00673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A91"/>
    <w:multiLevelType w:val="multilevel"/>
    <w:tmpl w:val="FF84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D4F56"/>
    <w:multiLevelType w:val="hybridMultilevel"/>
    <w:tmpl w:val="70D87A4A"/>
    <w:lvl w:ilvl="0" w:tplc="52F4E8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3F8A"/>
    <w:multiLevelType w:val="hybridMultilevel"/>
    <w:tmpl w:val="94A6216C"/>
    <w:lvl w:ilvl="0" w:tplc="3D2AF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62A"/>
    <w:multiLevelType w:val="multilevel"/>
    <w:tmpl w:val="4E7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>
      <w:start w:val="5"/>
      <w:numFmt w:val="lowerLetter"/>
      <w:lvlText w:val="%3)"/>
      <w:lvlJc w:val="left"/>
      <w:pPr>
        <w:ind w:left="2160" w:hanging="360"/>
      </w:pPr>
      <w:rPr>
        <w:rFonts w:eastAsia="Aptos" w:hint="default"/>
        <w:b/>
        <w:bCs/>
        <w:i/>
        <w:iCs w:val="0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367854">
    <w:abstractNumId w:val="2"/>
  </w:num>
  <w:num w:numId="2" w16cid:durableId="845290837">
    <w:abstractNumId w:val="0"/>
  </w:num>
  <w:num w:numId="3" w16cid:durableId="755635044">
    <w:abstractNumId w:val="1"/>
  </w:num>
  <w:num w:numId="4" w16cid:durableId="81233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DF"/>
    <w:rsid w:val="0007447F"/>
    <w:rsid w:val="0015686F"/>
    <w:rsid w:val="00197B24"/>
    <w:rsid w:val="002F3332"/>
    <w:rsid w:val="00362F42"/>
    <w:rsid w:val="00382C98"/>
    <w:rsid w:val="003A5CB4"/>
    <w:rsid w:val="004E694D"/>
    <w:rsid w:val="005F2346"/>
    <w:rsid w:val="006732DF"/>
    <w:rsid w:val="006F77BB"/>
    <w:rsid w:val="00825BA4"/>
    <w:rsid w:val="008B182B"/>
    <w:rsid w:val="008C7C07"/>
    <w:rsid w:val="008F5A87"/>
    <w:rsid w:val="0090177C"/>
    <w:rsid w:val="009A59E9"/>
    <w:rsid w:val="009B0CAD"/>
    <w:rsid w:val="00A2587A"/>
    <w:rsid w:val="00C72656"/>
    <w:rsid w:val="00C804CE"/>
    <w:rsid w:val="00D107DD"/>
    <w:rsid w:val="00F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0D2B"/>
  <w15:chartTrackingRefBased/>
  <w15:docId w15:val="{4F3F5965-7ED9-4FF3-A70C-083D8E2D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2DF"/>
    <w:rPr>
      <w:i/>
      <w:iCs/>
      <w:color w:val="404040" w:themeColor="text1" w:themeTint="BF"/>
    </w:rPr>
  </w:style>
  <w:style w:type="paragraph" w:styleId="ListParagraph">
    <w:name w:val="List Paragraph"/>
    <w:aliases w:val="Forth level,lp1,Heading x1,Lettre d'introduction,1st level - Bullet List Paragraph,List Paragraph1,Paragrafo elenco,body 2,Lista 1,lp11,Liste 1,Bullet list,List Paragraph11,Normal bullet 21,List Paragraph111,Bullet list1,Bullet Points"/>
    <w:basedOn w:val="Normal"/>
    <w:link w:val="ListParagraphChar"/>
    <w:qFormat/>
    <w:rsid w:val="0067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2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732DF"/>
    <w:pPr>
      <w:spacing w:after="0" w:line="240" w:lineRule="auto"/>
    </w:pPr>
    <w:rPr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qFormat/>
    <w:locked/>
    <w:rsid w:val="006732DF"/>
    <w:rPr>
      <w:noProof/>
      <w:sz w:val="22"/>
      <w:szCs w:val="22"/>
      <w:lang w:val="ro-RO"/>
    </w:rPr>
  </w:style>
  <w:style w:type="character" w:customStyle="1" w:styleId="ListParagraphChar">
    <w:name w:val="List Paragraph Char"/>
    <w:aliases w:val="Forth level Char,lp1 Char,Heading x1 Char,Lettre d'introduction Char,1st level - Bullet List Paragraph Char,List Paragraph1 Char,Paragrafo elenco Char,body 2 Char,Lista 1 Char,lp11 Char,Liste 1 Char,Bullet list Char,Bullet list1 Char"/>
    <w:link w:val="ListParagraph"/>
    <w:qFormat/>
    <w:rsid w:val="006732DF"/>
  </w:style>
  <w:style w:type="character" w:styleId="Hyperlink">
    <w:name w:val="Hyperlink"/>
    <w:uiPriority w:val="99"/>
    <w:unhideWhenUsed/>
    <w:rsid w:val="0067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Onofrei</dc:creator>
  <cp:keywords/>
  <dc:description/>
  <cp:lastModifiedBy>Nicoleta Onofrei</cp:lastModifiedBy>
  <cp:revision>13</cp:revision>
  <dcterms:created xsi:type="dcterms:W3CDTF">2025-09-16T06:29:00Z</dcterms:created>
  <dcterms:modified xsi:type="dcterms:W3CDTF">2026-01-15T11:20:00Z</dcterms:modified>
</cp:coreProperties>
</file>