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C8EB3" w14:textId="77777777" w:rsidR="0053272A" w:rsidRPr="0020176D" w:rsidRDefault="0053272A" w:rsidP="0053272A">
      <w:pPr>
        <w:rPr>
          <w:lang w:eastAsia="ar-SA"/>
        </w:rPr>
      </w:pPr>
    </w:p>
    <w:tbl>
      <w:tblPr>
        <w:tblpPr w:leftFromText="180" w:rightFromText="180" w:vertAnchor="text" w:horzAnchor="margin" w:tblpY="145"/>
        <w:tblW w:w="0" w:type="auto"/>
        <w:tblLook w:val="04A0" w:firstRow="1" w:lastRow="0" w:firstColumn="1" w:lastColumn="0" w:noHBand="0" w:noVBand="1"/>
      </w:tblPr>
      <w:tblGrid>
        <w:gridCol w:w="4531"/>
        <w:gridCol w:w="4531"/>
      </w:tblGrid>
      <w:tr w:rsidR="0053272A" w:rsidRPr="0020176D" w14:paraId="1F6842EA" w14:textId="77777777" w:rsidTr="00941449">
        <w:tc>
          <w:tcPr>
            <w:tcW w:w="4531" w:type="dxa"/>
          </w:tcPr>
          <w:p w14:paraId="486B0B1F" w14:textId="77777777" w:rsidR="0053272A" w:rsidRPr="0020176D" w:rsidRDefault="0053272A" w:rsidP="00941449">
            <w:r w:rsidRPr="0020176D">
              <w:t xml:space="preserve">OPERATOR ECONOMIC </w:t>
            </w:r>
          </w:p>
        </w:tc>
        <w:tc>
          <w:tcPr>
            <w:tcW w:w="4531" w:type="dxa"/>
          </w:tcPr>
          <w:p w14:paraId="4D96708A" w14:textId="77777777" w:rsidR="0053272A" w:rsidRPr="0020176D" w:rsidRDefault="0053272A" w:rsidP="00941449">
            <w:pPr>
              <w:jc w:val="center"/>
            </w:pPr>
          </w:p>
        </w:tc>
      </w:tr>
      <w:tr w:rsidR="0053272A" w:rsidRPr="0020176D" w14:paraId="0EB19925" w14:textId="77777777" w:rsidTr="00941449">
        <w:tc>
          <w:tcPr>
            <w:tcW w:w="4531" w:type="dxa"/>
          </w:tcPr>
          <w:p w14:paraId="7DDBCA3E" w14:textId="77777777" w:rsidR="0053272A" w:rsidRPr="0020176D" w:rsidRDefault="0053272A" w:rsidP="00941449">
            <w:r w:rsidRPr="0020176D">
              <w:t xml:space="preserve">(denumire / numele) </w:t>
            </w:r>
          </w:p>
        </w:tc>
        <w:tc>
          <w:tcPr>
            <w:tcW w:w="4531" w:type="dxa"/>
          </w:tcPr>
          <w:p w14:paraId="73EAB869" w14:textId="77777777" w:rsidR="0053272A" w:rsidRPr="0020176D" w:rsidRDefault="0053272A" w:rsidP="00941449"/>
        </w:tc>
      </w:tr>
    </w:tbl>
    <w:p w14:paraId="4E4CE3CD" w14:textId="77777777" w:rsidR="0053272A" w:rsidRPr="0020176D" w:rsidRDefault="0053272A" w:rsidP="0053272A">
      <w:pPr>
        <w:jc w:val="center"/>
        <w:rPr>
          <w:b/>
          <w:u w:val="single"/>
        </w:rPr>
      </w:pPr>
    </w:p>
    <w:p w14:paraId="76CC149F" w14:textId="77777777" w:rsidR="0053272A" w:rsidRPr="0020176D" w:rsidRDefault="0053272A" w:rsidP="0053272A">
      <w:pPr>
        <w:jc w:val="center"/>
        <w:rPr>
          <w:b/>
          <w:u w:val="single"/>
        </w:rPr>
      </w:pPr>
    </w:p>
    <w:p w14:paraId="0E402036" w14:textId="77777777" w:rsidR="0053272A" w:rsidRPr="0020176D" w:rsidRDefault="0053272A" w:rsidP="0053272A">
      <w:pPr>
        <w:jc w:val="center"/>
        <w:rPr>
          <w:b/>
          <w:u w:val="single"/>
        </w:rPr>
      </w:pPr>
    </w:p>
    <w:p w14:paraId="4D206240" w14:textId="77777777" w:rsidR="0053272A" w:rsidRPr="0020176D" w:rsidRDefault="0053272A" w:rsidP="0053272A">
      <w:pPr>
        <w:jc w:val="center"/>
        <w:rPr>
          <w:b/>
          <w:u w:val="single"/>
        </w:rPr>
      </w:pPr>
    </w:p>
    <w:p w14:paraId="6E6618A6" w14:textId="77777777" w:rsidR="0053272A" w:rsidRPr="0020176D" w:rsidRDefault="0053272A" w:rsidP="0053272A">
      <w:pPr>
        <w:jc w:val="center"/>
        <w:rPr>
          <w:b/>
          <w:u w:val="single"/>
        </w:rPr>
      </w:pPr>
      <w:r w:rsidRPr="0020176D">
        <w:rPr>
          <w:b/>
          <w:u w:val="single"/>
        </w:rPr>
        <w:t>PROPUNEREA TEHNICĂ</w:t>
      </w:r>
    </w:p>
    <w:p w14:paraId="5DCC8B9E" w14:textId="77777777" w:rsidR="0053272A" w:rsidRPr="0020176D" w:rsidRDefault="0053272A" w:rsidP="0053272A">
      <w:pPr>
        <w:jc w:val="center"/>
      </w:pPr>
    </w:p>
    <w:p w14:paraId="0B151B39" w14:textId="77777777" w:rsidR="0053272A" w:rsidRDefault="0053272A" w:rsidP="0053272A">
      <w:pPr>
        <w:jc w:val="center"/>
      </w:pPr>
    </w:p>
    <w:p w14:paraId="43C1FF9F" w14:textId="77777777" w:rsidR="0053272A" w:rsidRDefault="0053272A" w:rsidP="0053272A">
      <w:pPr>
        <w:ind w:firstLine="720"/>
        <w:jc w:val="both"/>
      </w:pPr>
      <w:r>
        <w:t xml:space="preserve"> </w:t>
      </w:r>
    </w:p>
    <w:p w14:paraId="04784D28" w14:textId="77777777" w:rsidR="0053272A" w:rsidRPr="00C6050D" w:rsidRDefault="0053272A" w:rsidP="0053272A">
      <w:pPr>
        <w:autoSpaceDE w:val="0"/>
        <w:autoSpaceDN w:val="0"/>
        <w:adjustRightInd w:val="0"/>
        <w:rPr>
          <w:rFonts w:eastAsia="Calibri"/>
          <w:color w:val="000000"/>
          <w:lang w:val="ro-RO" w:eastAsia="ro-RO"/>
        </w:rPr>
      </w:pPr>
      <w:r w:rsidRPr="00C6050D">
        <w:rPr>
          <w:rFonts w:eastAsia="Calibri"/>
          <w:color w:val="000000"/>
          <w:lang w:val="ro-RO" w:eastAsia="ro-RO"/>
        </w:rPr>
        <w:t xml:space="preserve">Propunerea tehnică elaborată de ofertant va respecta în totalitate cerințele prevăzute în prezentul Caietul de sarcini și va conține: </w:t>
      </w:r>
    </w:p>
    <w:p w14:paraId="1634BB92" w14:textId="77777777" w:rsidR="0053272A" w:rsidRPr="005F795E" w:rsidRDefault="0053272A" w:rsidP="0053272A">
      <w:pPr>
        <w:ind w:firstLine="630"/>
        <w:jc w:val="both"/>
      </w:pPr>
      <w:r w:rsidRPr="00C6050D">
        <w:rPr>
          <w:b/>
          <w:bCs/>
        </w:rPr>
        <w:t>1. Prezentarea modului de realizare a lucrărilor (planul propus)</w:t>
      </w:r>
      <w:r w:rsidRPr="005F795E">
        <w:t xml:space="preserve"> prin care Ofertantul va descrie abordarea din punct de vedere al metodologiei de execuție pentru realizarea lucrărilor prin referire la modul de executare a lucrărilor în baza proiectului</w:t>
      </w:r>
      <w:r>
        <w:t>.</w:t>
      </w:r>
    </w:p>
    <w:p w14:paraId="000C80D2" w14:textId="77777777" w:rsidR="0053272A" w:rsidRPr="005F795E" w:rsidRDefault="0053272A" w:rsidP="0053272A">
      <w:pPr>
        <w:ind w:firstLine="630"/>
        <w:jc w:val="both"/>
      </w:pPr>
      <w:r w:rsidRPr="005F795E">
        <w:t>Se va avea în vedere la întocmirea Metodologiei pentru realizarea lucrărilor</w:t>
      </w:r>
      <w:r>
        <w:t>,</w:t>
      </w:r>
      <w:r w:rsidRPr="005F795E">
        <w:t xml:space="preserve"> cerințele Caietului de sarcini, Proiectul tehnic de execuţie: părți scrise: date generale, descrierea generală a lucrărilor, memorii tehnice pe specialități, caiete de sarcini, liste cu cantitățile de lucrări și Proiectul tehnic de execuţie: părți desenate, planșe pe specialitate.</w:t>
      </w:r>
    </w:p>
    <w:p w14:paraId="7AB6B547" w14:textId="77777777" w:rsidR="0053272A" w:rsidRPr="005F795E" w:rsidRDefault="0053272A" w:rsidP="0053272A">
      <w:pPr>
        <w:ind w:firstLine="630"/>
        <w:jc w:val="both"/>
      </w:pPr>
      <w:r w:rsidRPr="00C6050D">
        <w:rPr>
          <w:b/>
          <w:bCs/>
        </w:rPr>
        <w:t xml:space="preserve">2. Prezentarea Planului calității cu procedurile tehnice de execuţie anexate si Planul de control al calității </w:t>
      </w:r>
      <w:r w:rsidRPr="005F795E">
        <w:t>(Planul calității nu trebuie să nu fie generic ci specific pentru acest Contract și pentru lucrările ce sunt incluse în Contract), inclusiv informații cu privire la personalul, echipamente si utilajele pentru executarea contractului conform cerințelor caietului de sarcini cu privire la planul calității, personal, utilaje si echipamente prin care ofertantul va demonstra că va executa toate lucrările prevăzute în documentația de atribuire (proiectul tehnic de execuţie) cu respectarea tuturor prevederilor caietului de sarcini. La întocmirea planului calității se vor avea in vedere cerințele din caietul de sarcini.</w:t>
      </w:r>
    </w:p>
    <w:p w14:paraId="4E555F74" w14:textId="77777777" w:rsidR="0053272A" w:rsidRPr="00C6050D" w:rsidRDefault="0053272A" w:rsidP="0053272A">
      <w:pPr>
        <w:ind w:firstLine="630"/>
        <w:jc w:val="both"/>
        <w:rPr>
          <w:b/>
          <w:bCs/>
        </w:rPr>
      </w:pPr>
      <w:r w:rsidRPr="00C6050D">
        <w:rPr>
          <w:b/>
          <w:bCs/>
        </w:rPr>
        <w:t xml:space="preserve">3.Managementul tuturor resurselor </w:t>
      </w:r>
      <w:r>
        <w:rPr>
          <w:b/>
          <w:bCs/>
        </w:rPr>
        <w:t xml:space="preserve">materiale </w:t>
      </w:r>
      <w:r w:rsidRPr="00C6050D">
        <w:rPr>
          <w:b/>
          <w:bCs/>
        </w:rPr>
        <w:t xml:space="preserve">alocate </w:t>
      </w:r>
    </w:p>
    <w:p w14:paraId="3C3BB397" w14:textId="77777777" w:rsidR="0053272A" w:rsidRPr="00CA5A36" w:rsidRDefault="0053272A" w:rsidP="0053272A">
      <w:pPr>
        <w:ind w:firstLine="630"/>
        <w:jc w:val="both"/>
        <w:rPr>
          <w:color w:val="FF0000"/>
        </w:rPr>
      </w:pPr>
      <w:r w:rsidRPr="005F795E">
        <w:t xml:space="preserve">Ofertantul va prezenta o lista cu utilajele,echipamentele,resursele materiale pe care acesta isi propune sa le utilizeze corespunzător fiecarui tip de activitate, pentru executia lucrarilor ce fac obiectul prezentului contract. Va include in aceasta sectiune si documente care sa demonstreze forma de detinere a acestora, proprietate/inchiriere sau orice alta forma prin care dispune de acestea. </w:t>
      </w:r>
    </w:p>
    <w:p w14:paraId="59658883" w14:textId="77777777" w:rsidR="0053272A" w:rsidRPr="005F795E" w:rsidRDefault="0053272A" w:rsidP="0053272A">
      <w:pPr>
        <w:ind w:firstLine="630"/>
        <w:jc w:val="both"/>
      </w:pPr>
      <w:r w:rsidRPr="00C6050D">
        <w:rPr>
          <w:b/>
          <w:bCs/>
        </w:rPr>
        <w:t>4.Planul de management al deseurilor cu respectarea cerintelor DNSH</w:t>
      </w:r>
      <w:r w:rsidRPr="005F795E">
        <w:t xml:space="preserve"> din caietul de sarcini</w:t>
      </w:r>
      <w:r>
        <w:t>, însoțit de contract de preluare deseuri.</w:t>
      </w:r>
    </w:p>
    <w:p w14:paraId="2732EF92" w14:textId="77777777" w:rsidR="0053272A" w:rsidRPr="005F795E" w:rsidRDefault="0053272A" w:rsidP="0053272A">
      <w:pPr>
        <w:ind w:firstLine="630"/>
        <w:jc w:val="both"/>
      </w:pPr>
      <w:r w:rsidRPr="00C6050D">
        <w:rPr>
          <w:b/>
          <w:bCs/>
        </w:rPr>
        <w:t>5. Graficul general de realizare a investiției (Graficul Gantt)</w:t>
      </w:r>
      <w:r w:rsidRPr="005F795E">
        <w:t xml:space="preserve"> din care să rezulte încadrarea în durata contractului de achiziție publică prin Planificarea fizică a activităților pe săptămâni, cu indicarea tuturor fazelor/etapelor de realizare a acestora, în ordinea și succesiunea logică a evenimentelor (cu duratele de timp necesare pe activități și poziționarea în timp a acestora, precum si cu evidențierea punctelor de control/jaloanelor relevante pentru urmărirea realizărilor), împreună cu alocarea resurselor umane pe parcursul execuției (în funcție de responsabilitățile/atribuțiile deținute pentru realizarea fiecărei activități în parte), informații care vor trebui să probeze transpunerea prevederilor caietului de sarcini într-un plan de implementare fezabil. Se va prezenta drumul critic al proiectului. Daca anumite activități sunt realizate de subcontractanți, in cadrul graficului Gantt acestea vor fi evidențiate distinct.</w:t>
      </w:r>
    </w:p>
    <w:p w14:paraId="681D6FAE" w14:textId="77777777" w:rsidR="0053272A" w:rsidRPr="005F795E" w:rsidRDefault="0053272A" w:rsidP="0053272A">
      <w:pPr>
        <w:ind w:firstLine="630"/>
        <w:jc w:val="both"/>
      </w:pPr>
      <w:r w:rsidRPr="005F795E">
        <w:t>Fiecare ofertant va prezenta in cadrul graficului de executie pentru fiecare activitate necesara realizarii obiectivului, resursele alocate, resurse care trebuiesc sa se dovedeasca suficiente pentru realizarea activitatii respective in perioada de timp specificata de ofertant.Prezentarea unei oferte in care in cadrul Propunerii Tehnice se regaseste un grafic de executie incorect, fara alocare de resurse aferente fiecarei activitati, sau pentru care ofertantul nu aloca suficiente resurse pentru realizarea activitatii respective in perioada de timp declarata sau c</w:t>
      </w:r>
      <w:r>
        <w:t>are nu va fi prezentat la nivel saptamanal</w:t>
      </w:r>
      <w:r w:rsidRPr="005F795E">
        <w:t>, va conduce la declar</w:t>
      </w:r>
      <w:r>
        <w:t>ar</w:t>
      </w:r>
      <w:r w:rsidRPr="005F795E">
        <w:t>ea ofertei ca oferta neconforma.</w:t>
      </w:r>
    </w:p>
    <w:p w14:paraId="4C525687" w14:textId="77777777" w:rsidR="0053272A" w:rsidRPr="005F795E" w:rsidRDefault="0053272A" w:rsidP="0053272A">
      <w:pPr>
        <w:ind w:firstLine="630"/>
        <w:jc w:val="both"/>
      </w:pPr>
      <w:r w:rsidRPr="00C6050D">
        <w:rPr>
          <w:b/>
          <w:bCs/>
        </w:rPr>
        <w:t>6. Fisele tehnice</w:t>
      </w:r>
      <w:r w:rsidRPr="000563FE">
        <w:t xml:space="preserve"> ale echipamentelor asa cum au fost puse la dispozitie in documentatia tehnica, completate cu specificatiile ofertate</w:t>
      </w:r>
      <w:r>
        <w:t xml:space="preserve"> si garantia oferita.</w:t>
      </w:r>
    </w:p>
    <w:p w14:paraId="0DCE5D9A" w14:textId="77777777" w:rsidR="0053272A" w:rsidRPr="00CA5A36" w:rsidRDefault="0053272A" w:rsidP="0053272A">
      <w:pPr>
        <w:ind w:firstLine="630"/>
        <w:jc w:val="both"/>
        <w:rPr>
          <w:color w:val="FF0000"/>
        </w:rPr>
      </w:pPr>
      <w:r w:rsidRPr="00C6050D">
        <w:rPr>
          <w:b/>
          <w:bCs/>
        </w:rPr>
        <w:t>7. Declaratie privind termenul de garantie acordat lucrarilor executate</w:t>
      </w:r>
      <w:r w:rsidRPr="005F795E">
        <w:t xml:space="preserve"> (mi</w:t>
      </w:r>
      <w:r w:rsidRPr="000563FE">
        <w:t>nim 36 de luni).</w:t>
      </w:r>
      <w:r w:rsidRPr="005F795E">
        <w:t xml:space="preserve"> </w:t>
      </w:r>
    </w:p>
    <w:p w14:paraId="40E98748" w14:textId="77777777" w:rsidR="0053272A" w:rsidRPr="005F795E" w:rsidRDefault="0053272A" w:rsidP="0053272A">
      <w:pPr>
        <w:ind w:firstLine="630"/>
        <w:jc w:val="both"/>
      </w:pPr>
      <w:r w:rsidRPr="00C6050D">
        <w:rPr>
          <w:b/>
          <w:bCs/>
        </w:rPr>
        <w:lastRenderedPageBreak/>
        <w:t>8. Prezentarea modalitatii de asigurare a accesului la specialistii necesari</w:t>
      </w:r>
      <w:r w:rsidRPr="005F795E">
        <w:t xml:space="preserve"> si obligatorii in vederea verificarii nivelului de calitate corespunzator cerintelor fundamentale aplicabile lucrarilor cuprinse in obiectul contractului, in conformitate cu prevederile Legii 10/1995 si a altor legi incidente. Ofertantul va prezenta specialistii necesari si obligatorii, precum si personalul de executie calificat (conform legislatiei in vigoare) ce rezulta din extrasele cu mana de lucru (Formular C7). Ofertantul va include in oferta sa documente relevante pentru demonstrarea disponibilitatii si pregatirii profesionale, cum ar fi, Certificatele/Autorizatiile, Declaratii disponibilitate/CIM, pentru specialistii obligatorii inclusi in contract.</w:t>
      </w:r>
    </w:p>
    <w:p w14:paraId="59F7A0AF" w14:textId="77777777" w:rsidR="0053272A" w:rsidRDefault="0053272A" w:rsidP="0053272A">
      <w:pPr>
        <w:ind w:firstLine="630"/>
        <w:jc w:val="both"/>
      </w:pPr>
      <w:r w:rsidRPr="00C6050D">
        <w:rPr>
          <w:b/>
          <w:bCs/>
        </w:rPr>
        <w:t xml:space="preserve"> 9. Plan de management al Mediului ca aplicare a Sistemului de Management al Mediului</w:t>
      </w:r>
      <w:r w:rsidRPr="005F795E">
        <w:t xml:space="preserve"> al ofertantului in raport cu executarea lucrarilor pentru prezenta investitie. </w:t>
      </w:r>
    </w:p>
    <w:p w14:paraId="0BDC3703" w14:textId="77777777" w:rsidR="0053272A" w:rsidRPr="00C6050D" w:rsidRDefault="0053272A" w:rsidP="0053272A">
      <w:pPr>
        <w:ind w:firstLine="630"/>
        <w:jc w:val="both"/>
        <w:rPr>
          <w:b/>
          <w:bCs/>
        </w:rPr>
      </w:pPr>
      <w:r w:rsidRPr="00C6050D">
        <w:rPr>
          <w:b/>
          <w:bCs/>
        </w:rPr>
        <w:t>10. Planul pentru sistemul de management al sănătății și securității ocupaționale (SSM)</w:t>
      </w:r>
    </w:p>
    <w:p w14:paraId="1A3734FA" w14:textId="77777777" w:rsidR="0053272A" w:rsidRPr="005F795E" w:rsidRDefault="0053272A" w:rsidP="0053272A">
      <w:pPr>
        <w:ind w:firstLine="630"/>
        <w:jc w:val="both"/>
      </w:pPr>
      <w:r w:rsidRPr="00C6050D">
        <w:rPr>
          <w:b/>
          <w:bCs/>
        </w:rPr>
        <w:t>11. Planul privind organizarea de șantier precum și a degajării locului organiz</w:t>
      </w:r>
      <w:r w:rsidRPr="00C6050D">
        <w:rPr>
          <w:rFonts w:hint="eastAsia"/>
          <w:b/>
          <w:bCs/>
        </w:rPr>
        <w:t>ă</w:t>
      </w:r>
      <w:r w:rsidRPr="00C6050D">
        <w:rPr>
          <w:b/>
          <w:bCs/>
        </w:rPr>
        <w:t xml:space="preserve">rii de </w:t>
      </w:r>
      <w:r w:rsidRPr="00C6050D">
        <w:rPr>
          <w:rFonts w:hint="eastAsia"/>
          <w:b/>
          <w:bCs/>
        </w:rPr>
        <w:t>ș</w:t>
      </w:r>
      <w:r w:rsidRPr="00C6050D">
        <w:rPr>
          <w:b/>
          <w:bCs/>
        </w:rPr>
        <w:t>antier</w:t>
      </w:r>
      <w:r w:rsidRPr="00965FFA">
        <w:t xml:space="preserve"> de materiale si echipamente de lucru.</w:t>
      </w:r>
    </w:p>
    <w:p w14:paraId="52F807DA" w14:textId="77777777" w:rsidR="0053272A" w:rsidRDefault="0053272A" w:rsidP="0053272A">
      <w:pPr>
        <w:ind w:firstLine="720"/>
        <w:jc w:val="both"/>
      </w:pPr>
      <w:r>
        <w:rPr>
          <w:b/>
          <w:bCs/>
        </w:rPr>
        <w:t>12</w:t>
      </w:r>
      <w:r w:rsidRPr="0033107A">
        <w:rPr>
          <w:b/>
          <w:bCs/>
        </w:rPr>
        <w:t>. Declarație privind acceptarea clauzelor contractuale.</w:t>
      </w:r>
      <w:r w:rsidRPr="0033107A">
        <w:t>Astfel, dacă un operator economic considera ca anumite clauze ii sunt in defavoare, va solicita, motivat, autorității contractante clarificări in perioada de depunere a ofertelor (inclusiv modificarea lor) astfel încât daca aceste clauze vor fi amendate/modificate ele sa fie aduse la cunoștința tuturor operatorilor economici interesați, înainte de data limita de depunere a ofertelor;</w:t>
      </w:r>
    </w:p>
    <w:p w14:paraId="10521668" w14:textId="77777777" w:rsidR="0053272A" w:rsidRDefault="0053272A" w:rsidP="0053272A">
      <w:pPr>
        <w:ind w:firstLine="720"/>
        <w:jc w:val="both"/>
      </w:pPr>
      <w:r w:rsidRPr="00741AA6">
        <w:rPr>
          <w:b/>
          <w:bCs/>
        </w:rPr>
        <w:t>1</w:t>
      </w:r>
      <w:r>
        <w:rPr>
          <w:b/>
          <w:bCs/>
        </w:rPr>
        <w:t>3</w:t>
      </w:r>
      <w:r w:rsidRPr="00741AA6">
        <w:rPr>
          <w:b/>
          <w:bCs/>
        </w:rPr>
        <w:t>. Angajamentul ofertantului de a nu subcontracta</w:t>
      </w:r>
      <w:r>
        <w:t xml:space="preserve"> proiectarea și execuția lucrărilor ulterior emiterii dispoziției de începere fără acceptul autorității contractante, către operatori economici care nu au fost nominalizați ca fiind subcontractanți de specialitate în cadrul ofertei în alte condiții decât cele prevăzute la art.219 din Legea nr.98/2016, coroborate cu cele ale art.151 din Anexa la HG nr.395/2016.</w:t>
      </w:r>
    </w:p>
    <w:p w14:paraId="38324FF3" w14:textId="77777777" w:rsidR="0053272A" w:rsidRDefault="0053272A" w:rsidP="0053272A">
      <w:pPr>
        <w:ind w:firstLine="720"/>
        <w:jc w:val="both"/>
      </w:pPr>
      <w:r w:rsidRPr="00741AA6">
        <w:rPr>
          <w:b/>
          <w:bCs/>
        </w:rPr>
        <w:t xml:space="preserve"> 1</w:t>
      </w:r>
      <w:r>
        <w:rPr>
          <w:b/>
          <w:bCs/>
        </w:rPr>
        <w:t>4</w:t>
      </w:r>
      <w:r w:rsidRPr="00741AA6">
        <w:rPr>
          <w:b/>
          <w:bCs/>
        </w:rPr>
        <w:t>. Ofertantul (ofertant unic, asociați, subcontractanți) vor prezenta o declarație pe proprie răspundere din care să reiasă că se vor respecta condițiile de mediu, sociale și cu privire la relațiile de muncă</w:t>
      </w:r>
      <w:r w:rsidRPr="00741AA6">
        <w:t xml:space="preserve"> pe toată durata de îndeplinire a contractului de lucrări</w:t>
      </w:r>
    </w:p>
    <w:p w14:paraId="7D31F1A5" w14:textId="77777777" w:rsidR="0053272A" w:rsidRPr="00741AA6" w:rsidRDefault="0053272A" w:rsidP="0053272A">
      <w:pPr>
        <w:autoSpaceDE w:val="0"/>
        <w:autoSpaceDN w:val="0"/>
        <w:adjustRightInd w:val="0"/>
        <w:rPr>
          <w:rFonts w:eastAsia="Calibri"/>
          <w:color w:val="000000"/>
          <w:sz w:val="22"/>
          <w:szCs w:val="22"/>
          <w:lang w:val="ro-RO" w:eastAsia="ro-RO"/>
        </w:rPr>
      </w:pPr>
      <w:r w:rsidRPr="00741AA6">
        <w:rPr>
          <w:rFonts w:eastAsia="Calibri"/>
          <w:color w:val="000000"/>
          <w:sz w:val="22"/>
          <w:szCs w:val="22"/>
          <w:lang w:val="ro-RO" w:eastAsia="ro-RO"/>
        </w:rPr>
        <w:t xml:space="preserve">Informații detaliate privind reglementările care sunt in vigoare la nivel național si se refera la condițiile de munca si protecția muncii, securității si sănătății in munca, se pot obține de la Inspecția Muncii sau pe site-ul http://www.inspectmun.ro/legislatie/legislatie.html. </w:t>
      </w:r>
    </w:p>
    <w:p w14:paraId="00103504" w14:textId="77777777" w:rsidR="0053272A" w:rsidRDefault="0053272A" w:rsidP="0053272A">
      <w:pPr>
        <w:ind w:firstLine="720"/>
        <w:jc w:val="both"/>
        <w:rPr>
          <w:rFonts w:eastAsia="Calibri"/>
          <w:b/>
          <w:bCs/>
          <w:color w:val="000000"/>
          <w:sz w:val="22"/>
          <w:szCs w:val="22"/>
          <w:lang w:val="ro-RO" w:eastAsia="ro-RO"/>
        </w:rPr>
      </w:pPr>
      <w:r w:rsidRPr="00741AA6">
        <w:rPr>
          <w:rFonts w:eastAsia="Calibri"/>
          <w:color w:val="000000"/>
          <w:sz w:val="22"/>
          <w:szCs w:val="22"/>
          <w:lang w:val="ro-RO" w:eastAsia="ro-RO"/>
        </w:rPr>
        <w:t xml:space="preserve">Informații privind reglementările care sunt in vigoare la nivel național si se refera la condițiile de mediu, se pot obține de la Agenția Naționala pentru Protecția Mediului sau de pe site-ul: </w:t>
      </w:r>
      <w:hyperlink r:id="rId4" w:history="1">
        <w:r w:rsidRPr="00856FC5">
          <w:rPr>
            <w:rStyle w:val="Hyperlink"/>
            <w:rFonts w:eastAsia="Calibri"/>
            <w:sz w:val="22"/>
            <w:szCs w:val="22"/>
            <w:lang w:val="ro-RO" w:eastAsia="ro-RO"/>
          </w:rPr>
          <w:t>http://www.anpm.ro/web/guest/legislatie</w:t>
        </w:r>
      </w:hyperlink>
      <w:r w:rsidRPr="00741AA6">
        <w:rPr>
          <w:rFonts w:eastAsia="Calibri"/>
          <w:b/>
          <w:bCs/>
          <w:color w:val="000000"/>
          <w:sz w:val="22"/>
          <w:szCs w:val="22"/>
          <w:lang w:val="ro-RO" w:eastAsia="ro-RO"/>
        </w:rPr>
        <w:t>.</w:t>
      </w:r>
    </w:p>
    <w:p w14:paraId="08CE877D" w14:textId="77777777" w:rsidR="0053272A" w:rsidRDefault="0053272A" w:rsidP="0053272A">
      <w:pPr>
        <w:ind w:firstLine="720"/>
        <w:jc w:val="both"/>
      </w:pPr>
    </w:p>
    <w:p w14:paraId="76308041" w14:textId="77777777" w:rsidR="0053272A" w:rsidRDefault="0053272A" w:rsidP="0053272A">
      <w:pPr>
        <w:jc w:val="both"/>
      </w:pPr>
      <w:r>
        <w:t xml:space="preserve"> </w:t>
      </w:r>
      <w:r>
        <w:tab/>
      </w:r>
      <w:r w:rsidRPr="00741AA6">
        <w:rPr>
          <w:b/>
          <w:bCs/>
        </w:rPr>
        <w:t>1</w:t>
      </w:r>
      <w:r>
        <w:rPr>
          <w:b/>
          <w:bCs/>
        </w:rPr>
        <w:t>5</w:t>
      </w:r>
      <w:r w:rsidRPr="00741AA6">
        <w:rPr>
          <w:b/>
          <w:bCs/>
        </w:rPr>
        <w:t>. DECLARAȚIE privind respectarea aplicării principiilor DNSH</w:t>
      </w:r>
      <w:r w:rsidRPr="00741AA6">
        <w:t xml:space="preserve"> (Do No Significant Harm) în implementarea Contractului (se va completa și semna de către fiecare asociat, terț susținător și subcontractant în parte</w:t>
      </w:r>
    </w:p>
    <w:p w14:paraId="3DB52DCD" w14:textId="77777777" w:rsidR="0053272A" w:rsidRDefault="0053272A" w:rsidP="0053272A">
      <w:pPr>
        <w:jc w:val="both"/>
      </w:pPr>
    </w:p>
    <w:p w14:paraId="6AAAE05F" w14:textId="77777777" w:rsidR="0053272A" w:rsidRDefault="0053272A" w:rsidP="0053272A">
      <w:pPr>
        <w:pBdr>
          <w:bottom w:val="single" w:sz="12" w:space="1" w:color="auto"/>
        </w:pBdr>
      </w:pPr>
    </w:p>
    <w:p w14:paraId="386E809E" w14:textId="77777777" w:rsidR="0053272A" w:rsidRPr="0020176D" w:rsidRDefault="0053272A" w:rsidP="0053272A">
      <w:pPr>
        <w:pBdr>
          <w:bottom w:val="single" w:sz="12" w:space="1" w:color="auto"/>
        </w:pBdr>
      </w:pPr>
      <w:r w:rsidRPr="0020176D">
        <w:t>Ofertant /lider asociere,</w:t>
      </w:r>
    </w:p>
    <w:p w14:paraId="0248FAA7" w14:textId="77777777" w:rsidR="0053272A" w:rsidRPr="0020176D" w:rsidRDefault="0053272A" w:rsidP="0053272A">
      <w:r w:rsidRPr="0020176D">
        <w:t>(semnătură autorizată)</w:t>
      </w:r>
    </w:p>
    <w:p w14:paraId="37FE7FF3" w14:textId="77777777" w:rsidR="00BD353A" w:rsidRDefault="00BD353A"/>
    <w:sectPr w:rsidR="00BD353A" w:rsidSect="0053272A">
      <w:headerReference w:type="default" r:id="rId5"/>
      <w:footerReference w:type="even" r:id="rId6"/>
      <w:pgSz w:w="11907" w:h="16840" w:code="9"/>
      <w:pgMar w:top="1225" w:right="851" w:bottom="851"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Optima">
    <w:altName w:val="Segoe UI"/>
    <w:charset w:val="EE"/>
    <w:family w:val="swiss"/>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7CBC" w14:textId="77777777" w:rsidR="0053272A" w:rsidRDefault="0053272A" w:rsidP="00656C2A">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7E1E4CE" w14:textId="77777777" w:rsidR="0053272A" w:rsidRDefault="0053272A" w:rsidP="00656C2A">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4968F" w14:textId="77777777" w:rsidR="0053272A" w:rsidRPr="00A2460A" w:rsidRDefault="0053272A" w:rsidP="00656C2A">
    <w:pPr>
      <w:pStyle w:val="Header"/>
      <w:rPr>
        <w:rFonts w:ascii="Calibri" w:hAnsi="Calibri"/>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E68BC"/>
    <w:rsid w:val="000D6452"/>
    <w:rsid w:val="002D6D5F"/>
    <w:rsid w:val="004C48C9"/>
    <w:rsid w:val="0053272A"/>
    <w:rsid w:val="007E68BC"/>
    <w:rsid w:val="00B055D2"/>
    <w:rsid w:val="00B10450"/>
    <w:rsid w:val="00B72D45"/>
    <w:rsid w:val="00BD1510"/>
    <w:rsid w:val="00BD3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2BE25C-F488-4CD0-B394-692F1B031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72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E68B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E68B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E68B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E68B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E68B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E68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8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8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8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8B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E68B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E68B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E68B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E68B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E68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8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8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8BC"/>
    <w:rPr>
      <w:rFonts w:eastAsiaTheme="majorEastAsia" w:cstheme="majorBidi"/>
      <w:color w:val="272727" w:themeColor="text1" w:themeTint="D8"/>
    </w:rPr>
  </w:style>
  <w:style w:type="paragraph" w:styleId="Title">
    <w:name w:val="Title"/>
    <w:basedOn w:val="Normal"/>
    <w:next w:val="Normal"/>
    <w:link w:val="TitleChar"/>
    <w:uiPriority w:val="10"/>
    <w:qFormat/>
    <w:rsid w:val="007E68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8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8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8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8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E68BC"/>
    <w:rPr>
      <w:i/>
      <w:iCs/>
      <w:color w:val="404040" w:themeColor="text1" w:themeTint="BF"/>
    </w:rPr>
  </w:style>
  <w:style w:type="paragraph" w:styleId="ListParagraph">
    <w:name w:val="List Paragraph"/>
    <w:basedOn w:val="Normal"/>
    <w:uiPriority w:val="34"/>
    <w:qFormat/>
    <w:rsid w:val="007E68BC"/>
    <w:pPr>
      <w:ind w:left="720"/>
      <w:contextualSpacing/>
    </w:pPr>
  </w:style>
  <w:style w:type="character" w:styleId="IntenseEmphasis">
    <w:name w:val="Intense Emphasis"/>
    <w:basedOn w:val="DefaultParagraphFont"/>
    <w:uiPriority w:val="21"/>
    <w:qFormat/>
    <w:rsid w:val="007E68BC"/>
    <w:rPr>
      <w:i/>
      <w:iCs/>
      <w:color w:val="365F91" w:themeColor="accent1" w:themeShade="BF"/>
    </w:rPr>
  </w:style>
  <w:style w:type="paragraph" w:styleId="IntenseQuote">
    <w:name w:val="Intense Quote"/>
    <w:basedOn w:val="Normal"/>
    <w:next w:val="Normal"/>
    <w:link w:val="IntenseQuoteChar"/>
    <w:uiPriority w:val="30"/>
    <w:qFormat/>
    <w:rsid w:val="007E68B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E68BC"/>
    <w:rPr>
      <w:i/>
      <w:iCs/>
      <w:color w:val="365F91" w:themeColor="accent1" w:themeShade="BF"/>
    </w:rPr>
  </w:style>
  <w:style w:type="character" w:styleId="IntenseReference">
    <w:name w:val="Intense Reference"/>
    <w:basedOn w:val="DefaultParagraphFont"/>
    <w:uiPriority w:val="32"/>
    <w:qFormat/>
    <w:rsid w:val="007E68BC"/>
    <w:rPr>
      <w:b/>
      <w:bCs/>
      <w:smallCaps/>
      <w:color w:val="365F91" w:themeColor="accent1" w:themeShade="BF"/>
      <w:spacing w:val="5"/>
    </w:rPr>
  </w:style>
  <w:style w:type="paragraph" w:styleId="Footer">
    <w:name w:val="footer"/>
    <w:basedOn w:val="Normal"/>
    <w:link w:val="FooterChar"/>
    <w:uiPriority w:val="99"/>
    <w:rsid w:val="0053272A"/>
    <w:pPr>
      <w:tabs>
        <w:tab w:val="center" w:pos="4320"/>
        <w:tab w:val="right" w:pos="8640"/>
      </w:tabs>
    </w:pPr>
  </w:style>
  <w:style w:type="character" w:customStyle="1" w:styleId="FooterChar">
    <w:name w:val="Footer Char"/>
    <w:basedOn w:val="DefaultParagraphFont"/>
    <w:link w:val="Footer"/>
    <w:uiPriority w:val="99"/>
    <w:rsid w:val="0053272A"/>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53272A"/>
  </w:style>
  <w:style w:type="paragraph" w:styleId="Header">
    <w:name w:val="header"/>
    <w:basedOn w:val="Normal"/>
    <w:next w:val="Normal"/>
    <w:link w:val="HeaderChar"/>
    <w:uiPriority w:val="99"/>
    <w:rsid w:val="0053272A"/>
    <w:pPr>
      <w:tabs>
        <w:tab w:val="center" w:pos="4320"/>
        <w:tab w:val="right" w:pos="7080"/>
        <w:tab w:val="right" w:pos="8640"/>
      </w:tabs>
      <w:spacing w:before="60" w:after="60"/>
    </w:pPr>
    <w:rPr>
      <w:rFonts w:ascii="Optima" w:hAnsi="Optima"/>
      <w:b/>
      <w:sz w:val="32"/>
      <w:szCs w:val="20"/>
      <w:lang w:val="en-GB"/>
    </w:rPr>
  </w:style>
  <w:style w:type="character" w:customStyle="1" w:styleId="HeaderChar">
    <w:name w:val="Header Char"/>
    <w:basedOn w:val="DefaultParagraphFont"/>
    <w:link w:val="Header"/>
    <w:uiPriority w:val="99"/>
    <w:rsid w:val="0053272A"/>
    <w:rPr>
      <w:rFonts w:ascii="Optima" w:eastAsia="Times New Roman" w:hAnsi="Optima" w:cs="Times New Roman"/>
      <w:b/>
      <w:kern w:val="0"/>
      <w:sz w:val="32"/>
      <w:szCs w:val="20"/>
      <w:lang w:val="en-GB"/>
      <w14:ligatures w14:val="none"/>
    </w:rPr>
  </w:style>
  <w:style w:type="character" w:styleId="Hyperlink">
    <w:name w:val="Hyperlink"/>
    <w:rsid w:val="0053272A"/>
    <w:rPr>
      <w:b/>
      <w:bCs/>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hyperlink" Target="http://www.anpm.ro/web/guest/legisla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1041</Words>
  <Characters>6041</Characters>
  <Application>Microsoft Office Word</Application>
  <DocSecurity>0</DocSecurity>
  <Lines>50</Lines>
  <Paragraphs>14</Paragraphs>
  <ScaleCrop>false</ScaleCrop>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TPCService</dc:creator>
  <cp:keywords/>
  <dc:description/>
  <cp:lastModifiedBy>TPCService</cp:lastModifiedBy>
  <cp:revision>2</cp:revision>
  <dcterms:created xsi:type="dcterms:W3CDTF">2026-02-11T14:27:00Z</dcterms:created>
  <dcterms:modified xsi:type="dcterms:W3CDTF">2026-02-11T14:27:00Z</dcterms:modified>
</cp:coreProperties>
</file>