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03A7" w14:textId="20ABF07A" w:rsidR="005207AE" w:rsidRPr="00BA6F73" w:rsidRDefault="005207AE" w:rsidP="005207A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A6F73">
        <w:rPr>
          <w:rFonts w:ascii="Times New Roman" w:hAnsi="Times New Roman"/>
          <w:b/>
          <w:i/>
          <w:sz w:val="24"/>
          <w:szCs w:val="24"/>
        </w:rPr>
        <w:t>Nr</w:t>
      </w:r>
      <w:r w:rsidR="00243C98" w:rsidRPr="00BA6F73">
        <w:rPr>
          <w:rFonts w:ascii="Times New Roman" w:hAnsi="Times New Roman"/>
          <w:b/>
          <w:i/>
          <w:sz w:val="24"/>
          <w:szCs w:val="24"/>
        </w:rPr>
        <w:t>.</w:t>
      </w:r>
      <w:r w:rsidR="00352BB8">
        <w:rPr>
          <w:rFonts w:ascii="Times New Roman" w:hAnsi="Times New Roman"/>
          <w:b/>
          <w:i/>
          <w:sz w:val="24"/>
          <w:szCs w:val="24"/>
        </w:rPr>
        <w:t>5097/09.03.2026</w:t>
      </w:r>
    </w:p>
    <w:p w14:paraId="6B48E55F" w14:textId="77777777" w:rsidR="00C66350" w:rsidRDefault="00C66350" w:rsidP="005207AE">
      <w:pPr>
        <w:spacing w:after="0"/>
        <w:rPr>
          <w:rFonts w:ascii="Times New Roman" w:hAnsi="Times New Roman"/>
          <w:b/>
          <w:i/>
          <w:sz w:val="20"/>
          <w:szCs w:val="20"/>
        </w:rPr>
      </w:pPr>
    </w:p>
    <w:p w14:paraId="66946731" w14:textId="77777777" w:rsidR="00C66350" w:rsidRPr="00C66350" w:rsidRDefault="00C66350" w:rsidP="00C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C66350">
        <w:rPr>
          <w:rFonts w:ascii="Times New Roman" w:hAnsi="Times New Roman"/>
          <w:b/>
          <w:sz w:val="24"/>
          <w:szCs w:val="24"/>
          <w:lang w:val="en-GB"/>
        </w:rPr>
        <w:t>“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Achizitie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paine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” 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necesar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pentru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hrana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  <w:lang w:val="en-GB"/>
        </w:rPr>
        <w:t>pacientiilor</w:t>
      </w:r>
      <w:proofErr w:type="spellEnd"/>
      <w:r w:rsidRPr="00C6635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Spitalului</w:t>
      </w:r>
      <w:proofErr w:type="spellEnd"/>
      <w:r w:rsidRPr="00C66350">
        <w:rPr>
          <w:rFonts w:ascii="Times New Roman" w:hAnsi="Times New Roman"/>
          <w:b/>
          <w:sz w:val="24"/>
          <w:szCs w:val="24"/>
        </w:rPr>
        <w:t xml:space="preserve"> Municipal „Dr. Gheorghe Marinescu” 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Tarnaveni</w:t>
      </w:r>
      <w:proofErr w:type="spellEnd"/>
    </w:p>
    <w:p w14:paraId="6647C267" w14:textId="77777777" w:rsidR="00C66350" w:rsidRPr="00C66350" w:rsidRDefault="00C66350" w:rsidP="00C66350">
      <w:pPr>
        <w:pStyle w:val="Header"/>
        <w:rPr>
          <w:rFonts w:ascii="Times New Roman" w:hAnsi="Times New Roman"/>
          <w:sz w:val="24"/>
          <w:szCs w:val="24"/>
        </w:rPr>
      </w:pPr>
    </w:p>
    <w:p w14:paraId="69F9D011" w14:textId="77777777" w:rsidR="00C66350" w:rsidRPr="00C66350" w:rsidRDefault="00C66350" w:rsidP="00C66350">
      <w:pPr>
        <w:pStyle w:val="Header"/>
        <w:jc w:val="center"/>
        <w:rPr>
          <w:rFonts w:ascii="Times New Roman" w:hAnsi="Times New Roman"/>
          <w:b/>
          <w:sz w:val="24"/>
          <w:szCs w:val="24"/>
        </w:rPr>
      </w:pPr>
      <w:r w:rsidRPr="00C66350">
        <w:rPr>
          <w:rFonts w:ascii="Times New Roman" w:hAnsi="Times New Roman"/>
          <w:b/>
          <w:sz w:val="24"/>
          <w:szCs w:val="24"/>
        </w:rPr>
        <w:t xml:space="preserve">INSTRUCTIUNI PENTRU OFERTANTI </w:t>
      </w:r>
    </w:p>
    <w:p w14:paraId="2FB01689" w14:textId="77777777" w:rsidR="00C66350" w:rsidRPr="00C66350" w:rsidRDefault="00C66350" w:rsidP="00C6635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15D5100" w14:textId="77777777" w:rsidR="00C66350" w:rsidRPr="00C66350" w:rsidRDefault="00C66350" w:rsidP="00C6635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66350">
        <w:rPr>
          <w:rFonts w:ascii="Times New Roman" w:hAnsi="Times New Roman"/>
          <w:b/>
          <w:sz w:val="24"/>
          <w:szCs w:val="24"/>
        </w:rPr>
        <w:t>Secțiunea</w:t>
      </w:r>
      <w:proofErr w:type="spellEnd"/>
      <w:r w:rsidRPr="00C66350">
        <w:rPr>
          <w:rFonts w:ascii="Times New Roman" w:hAnsi="Times New Roman"/>
          <w:b/>
          <w:sz w:val="24"/>
          <w:szCs w:val="24"/>
        </w:rPr>
        <w:t xml:space="preserve"> II – 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Instrucțiuni</w:t>
      </w:r>
      <w:proofErr w:type="spellEnd"/>
      <w:r w:rsidRPr="00C663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C663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candidați</w:t>
      </w:r>
      <w:proofErr w:type="spellEnd"/>
      <w:r w:rsidRPr="00C6635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C66350">
        <w:rPr>
          <w:rFonts w:ascii="Times New Roman" w:hAnsi="Times New Roman"/>
          <w:b/>
          <w:sz w:val="24"/>
          <w:szCs w:val="24"/>
        </w:rPr>
        <w:t>ofertanți</w:t>
      </w:r>
      <w:proofErr w:type="spellEnd"/>
    </w:p>
    <w:p w14:paraId="43F92E90" w14:textId="77777777" w:rsidR="00C66350" w:rsidRPr="00C66350" w:rsidRDefault="00C66350" w:rsidP="005207A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497C21AE" w14:textId="77777777" w:rsidR="005207AE" w:rsidRPr="00126BD2" w:rsidRDefault="005207AE" w:rsidP="005207AE">
      <w:pPr>
        <w:spacing w:after="0"/>
        <w:jc w:val="right"/>
        <w:rPr>
          <w:rFonts w:ascii="Times New Roman" w:hAnsi="Times New Roman"/>
          <w:b/>
          <w:i/>
          <w:sz w:val="20"/>
          <w:szCs w:val="20"/>
        </w:rPr>
      </w:pPr>
      <w:r w:rsidRPr="00126BD2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3A24E21C" w14:textId="77777777" w:rsidR="005207AE" w:rsidRPr="00126BD2" w:rsidRDefault="005207AE" w:rsidP="005207AE">
      <w:pPr>
        <w:spacing w:before="120" w:after="120" w:line="276" w:lineRule="auto"/>
        <w:ind w:left="1"/>
        <w:jc w:val="center"/>
        <w:rPr>
          <w:rFonts w:ascii="Times New Roman" w:hAnsi="Times New Roman"/>
          <w:b/>
          <w:sz w:val="20"/>
          <w:szCs w:val="20"/>
        </w:rPr>
      </w:pPr>
    </w:p>
    <w:p w14:paraId="3403141B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detaliază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formalitățile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modul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26BD2">
        <w:rPr>
          <w:rFonts w:ascii="Times New Roman" w:hAnsi="Times New Roman"/>
          <w:sz w:val="20"/>
          <w:szCs w:val="20"/>
        </w:rPr>
        <w:t>structureze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fi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cerințelor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solicitate, </w:t>
      </w:r>
      <w:proofErr w:type="spellStart"/>
      <w:r w:rsidRPr="00126BD2">
        <w:rPr>
          <w:rFonts w:ascii="Times New Roman" w:hAnsi="Times New Roman"/>
          <w:sz w:val="20"/>
          <w:szCs w:val="20"/>
        </w:rPr>
        <w:t>modul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întocmite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structurate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Tehnică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Financiară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fi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respectate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atac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sunt </w:t>
      </w:r>
      <w:proofErr w:type="spellStart"/>
      <w:r w:rsidRPr="00126BD2">
        <w:rPr>
          <w:rFonts w:ascii="Times New Roman" w:hAnsi="Times New Roman"/>
          <w:sz w:val="20"/>
          <w:szCs w:val="20"/>
        </w:rPr>
        <w:t>grupate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structura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SEAP (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IV.4). </w:t>
      </w:r>
    </w:p>
    <w:p w14:paraId="752711AB" w14:textId="77777777" w:rsidR="005207AE" w:rsidRPr="00126BD2" w:rsidRDefault="005207AE" w:rsidP="005207AE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>1. INSTRUCTIUNI PRIVIND DUAE</w:t>
      </w:r>
    </w:p>
    <w:p w14:paraId="76DDC05C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DUAE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propria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economici, care </w:t>
      </w:r>
      <w:proofErr w:type="spellStart"/>
      <w:r w:rsidRPr="00126BD2">
        <w:rPr>
          <w:rFonts w:ascii="Times New Roman" w:hAnsi="Times New Roman"/>
          <w:sz w:val="20"/>
          <w:szCs w:val="20"/>
        </w:rPr>
        <w:t>prezintă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dovezi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preliminare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înlocuiește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terțe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document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potrivit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-una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sunt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excluși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respectă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regulile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obiective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scopul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numărului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invitați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429715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pregătește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anumită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/de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simplificat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menționate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/de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simplificat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invitațiile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confirmare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care le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economici,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explicită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prevăzute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II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III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capacitățile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bazează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economic.</w:t>
      </w:r>
    </w:p>
    <w:p w14:paraId="34EE3AC6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cere </w:t>
      </w:r>
      <w:proofErr w:type="spellStart"/>
      <w:r w:rsidRPr="00126BD2">
        <w:rPr>
          <w:rFonts w:ascii="Times New Roman" w:hAnsi="Times New Roman"/>
          <w:sz w:val="20"/>
          <w:szCs w:val="20"/>
        </w:rPr>
        <w:t>oricărui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moment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cursul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justificative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necesar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desfășurarea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corespunzătoare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25196CC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excluși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urmăriți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justiție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temeiul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legislației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grave de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false </w:t>
      </w:r>
      <w:proofErr w:type="spellStart"/>
      <w:r w:rsidRPr="00126BD2">
        <w:rPr>
          <w:rFonts w:ascii="Times New Roman" w:hAnsi="Times New Roman"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general, </w:t>
      </w:r>
      <w:proofErr w:type="spellStart"/>
      <w:r w:rsidRPr="00126BD2">
        <w:rPr>
          <w:rFonts w:ascii="Times New Roman" w:hAnsi="Times New Roman"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verificarea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absenței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excludere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îndeplinirii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au </w:t>
      </w:r>
      <w:proofErr w:type="spellStart"/>
      <w:r w:rsidRPr="00126BD2">
        <w:rPr>
          <w:rFonts w:ascii="Times New Roman" w:hAnsi="Times New Roman"/>
          <w:sz w:val="20"/>
          <w:szCs w:val="20"/>
        </w:rPr>
        <w:t>divulgat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măsură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justificative.</w:t>
      </w:r>
    </w:p>
    <w:p w14:paraId="7F12D3EA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pot </w:t>
      </w:r>
      <w:proofErr w:type="spellStart"/>
      <w:r w:rsidRPr="00126BD2">
        <w:rPr>
          <w:rFonts w:ascii="Times New Roman" w:hAnsi="Times New Roman"/>
          <w:sz w:val="20"/>
          <w:szCs w:val="20"/>
        </w:rPr>
        <w:t>reutiliza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-un DUAE </w:t>
      </w:r>
      <w:proofErr w:type="spellStart"/>
      <w:r w:rsidRPr="00126BD2">
        <w:rPr>
          <w:rFonts w:ascii="Times New Roman" w:hAnsi="Times New Roman"/>
          <w:sz w:val="20"/>
          <w:szCs w:val="20"/>
        </w:rPr>
        <w:t>deja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utilizat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precedentă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rămână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corecte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continuare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pertinente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realiza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ușor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introducerea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noul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 </w:t>
      </w:r>
      <w:proofErr w:type="spellStart"/>
      <w:r w:rsidRPr="00126BD2">
        <w:rPr>
          <w:rFonts w:ascii="Times New Roman" w:hAnsi="Times New Roman"/>
          <w:sz w:val="20"/>
          <w:szCs w:val="20"/>
        </w:rPr>
        <w:t>folosind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funcționalitățile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adecvate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sunt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electronic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DUAE.</w:t>
      </w:r>
    </w:p>
    <w:p w14:paraId="1058C6F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s-a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anterior, DUAE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economic, </w:t>
      </w:r>
      <w:proofErr w:type="spellStart"/>
      <w:r w:rsidRPr="00126BD2">
        <w:rPr>
          <w:rFonts w:ascii="Times New Roman" w:hAnsi="Times New Roman"/>
          <w:sz w:val="20"/>
          <w:szCs w:val="20"/>
        </w:rPr>
        <w:t>potrivit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aplică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excludere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sunt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8D607D0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Pe </w:t>
      </w:r>
      <w:proofErr w:type="spellStart"/>
      <w:r w:rsidRPr="00126BD2">
        <w:rPr>
          <w:rFonts w:ascii="Times New Roman" w:hAnsi="Times New Roman"/>
          <w:sz w:val="20"/>
          <w:szCs w:val="20"/>
        </w:rPr>
        <w:t>lângă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DUAE </w:t>
      </w:r>
      <w:proofErr w:type="spellStart"/>
      <w:r w:rsidRPr="00126BD2">
        <w:rPr>
          <w:rFonts w:ascii="Times New Roman" w:hAnsi="Times New Roman"/>
          <w:sz w:val="20"/>
          <w:szCs w:val="20"/>
        </w:rPr>
        <w:t>identifică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responsabilă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întocmirea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justificative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atestă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la </w:t>
      </w:r>
      <w:proofErr w:type="spellStart"/>
      <w:r w:rsidRPr="00126BD2">
        <w:rPr>
          <w:rFonts w:ascii="Times New Roman" w:hAnsi="Times New Roman"/>
          <w:sz w:val="20"/>
          <w:szCs w:val="20"/>
        </w:rPr>
        <w:t>cerere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fără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întârziere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justificative respective.</w:t>
      </w:r>
    </w:p>
    <w:p w14:paraId="05F689BD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alege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o </w:t>
      </w:r>
      <w:proofErr w:type="spellStart"/>
      <w:r w:rsidRPr="00126BD2">
        <w:rPr>
          <w:rFonts w:ascii="Times New Roman" w:hAnsi="Times New Roman"/>
          <w:sz w:val="20"/>
          <w:szCs w:val="20"/>
        </w:rPr>
        <w:t>singură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întrebare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da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îndeplinesc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Deși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pot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ulterior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suplimentare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avut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grijă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evite </w:t>
      </w:r>
      <w:proofErr w:type="spellStart"/>
      <w:r w:rsidRPr="00126BD2">
        <w:rPr>
          <w:rFonts w:ascii="Times New Roman" w:hAnsi="Times New Roman"/>
          <w:sz w:val="20"/>
          <w:szCs w:val="20"/>
        </w:rPr>
        <w:t>impunerea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sarcini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administrative </w:t>
      </w:r>
      <w:proofErr w:type="spellStart"/>
      <w:r w:rsidRPr="00126BD2">
        <w:rPr>
          <w:rFonts w:ascii="Times New Roman" w:hAnsi="Times New Roman"/>
          <w:sz w:val="20"/>
          <w:szCs w:val="20"/>
        </w:rPr>
        <w:t>excesive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asupra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sistematice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certificate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forme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justificative din </w:t>
      </w:r>
      <w:proofErr w:type="spellStart"/>
      <w:r w:rsidRPr="00126BD2">
        <w:rPr>
          <w:rFonts w:ascii="Times New Roman" w:hAnsi="Times New Roman"/>
          <w:sz w:val="20"/>
          <w:szCs w:val="20"/>
        </w:rPr>
        <w:t>partea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participanților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o </w:t>
      </w:r>
      <w:proofErr w:type="spellStart"/>
      <w:r w:rsidRPr="00126BD2">
        <w:rPr>
          <w:rFonts w:ascii="Times New Roman" w:hAnsi="Times New Roman"/>
          <w:sz w:val="20"/>
          <w:szCs w:val="20"/>
        </w:rPr>
        <w:t>anumită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practici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identificarea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discriminatoriu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li se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E0EBC9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Obligațiile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cauză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direct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accesarea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baze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date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stat </w:t>
      </w:r>
      <w:proofErr w:type="spellStart"/>
      <w:r w:rsidRPr="00126BD2">
        <w:rPr>
          <w:rFonts w:ascii="Times New Roman" w:hAnsi="Times New Roman"/>
          <w:sz w:val="20"/>
          <w:szCs w:val="20"/>
        </w:rPr>
        <w:t>membru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disponibilă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gratuit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se </w:t>
      </w:r>
      <w:proofErr w:type="spellStart"/>
      <w:r w:rsidRPr="00126BD2">
        <w:rPr>
          <w:rFonts w:ascii="Times New Roman" w:hAnsi="Times New Roman"/>
          <w:sz w:val="20"/>
          <w:szCs w:val="20"/>
        </w:rPr>
        <w:t>aplică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inițial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un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tip da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nu.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sunt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electronice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necesare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cauză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momentul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verificării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degrabă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direct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DUAE.</w:t>
      </w:r>
    </w:p>
    <w:p w14:paraId="7666287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un extras din </w:t>
      </w:r>
      <w:proofErr w:type="spellStart"/>
      <w:r w:rsidRPr="00126BD2">
        <w:rPr>
          <w:rFonts w:ascii="Times New Roman" w:hAnsi="Times New Roman"/>
          <w:sz w:val="20"/>
          <w:szCs w:val="20"/>
        </w:rPr>
        <w:t>registrul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pertinent, cum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cazierul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judiciar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consultat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format electronic,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unde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găsite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denumirea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arhivei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adresa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internet, </w:t>
      </w:r>
      <w:proofErr w:type="spellStart"/>
      <w:r w:rsidRPr="00126BD2">
        <w:rPr>
          <w:rFonts w:ascii="Times New Roman" w:hAnsi="Times New Roman"/>
          <w:sz w:val="20"/>
          <w:szCs w:val="20"/>
        </w:rPr>
        <w:t>identificarea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dosarului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registrului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etc.),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extrage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își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exprimă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acordul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normele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prelucrarea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caracter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personal,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special a </w:t>
      </w:r>
      <w:proofErr w:type="spellStart"/>
      <w:r w:rsidRPr="00126BD2">
        <w:rPr>
          <w:rFonts w:ascii="Times New Roman" w:hAnsi="Times New Roman"/>
          <w:sz w:val="20"/>
          <w:szCs w:val="20"/>
        </w:rPr>
        <w:t>categoriilor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speciale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date, cum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infracțiunile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condamnările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măsurile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securitate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82BA391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care sunt </w:t>
      </w:r>
      <w:proofErr w:type="spellStart"/>
      <w:r w:rsidRPr="00126BD2">
        <w:rPr>
          <w:rFonts w:ascii="Times New Roman" w:hAnsi="Times New Roman"/>
          <w:sz w:val="20"/>
          <w:szCs w:val="20"/>
        </w:rPr>
        <w:t>înscriși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listele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autorizați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dețin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relevant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organisme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public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III-V,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înscriere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competentă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organismul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competent.</w:t>
      </w:r>
    </w:p>
    <w:p w14:paraId="4D2EC406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Un operator economic care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cont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propriu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bazează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capacitățile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sz w:val="20"/>
          <w:szCs w:val="20"/>
        </w:rPr>
        <w:t>singur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DUAE.</w:t>
      </w:r>
    </w:p>
    <w:p w14:paraId="1622E58F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Un operator economic care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cont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propriu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bazează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capacitățile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propriul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 </w:t>
      </w:r>
      <w:proofErr w:type="spellStart"/>
      <w:r w:rsidRPr="00126BD2">
        <w:rPr>
          <w:rFonts w:ascii="Times New Roman" w:hAnsi="Times New Roman"/>
          <w:sz w:val="20"/>
          <w:szCs w:val="20"/>
        </w:rPr>
        <w:t>împreună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un DUAE </w:t>
      </w:r>
      <w:proofErr w:type="spellStart"/>
      <w:r w:rsidRPr="00126BD2">
        <w:rPr>
          <w:rFonts w:ascii="Times New Roman" w:hAnsi="Times New Roman"/>
          <w:sz w:val="20"/>
          <w:szCs w:val="20"/>
        </w:rPr>
        <w:t>separat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cuprinde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fiecare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care se </w:t>
      </w:r>
      <w:proofErr w:type="spellStart"/>
      <w:r w:rsidRPr="00126BD2">
        <w:rPr>
          <w:rFonts w:ascii="Times New Roman" w:hAnsi="Times New Roman"/>
          <w:sz w:val="20"/>
          <w:szCs w:val="20"/>
        </w:rPr>
        <w:t>bazează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3CD6E72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grupurile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economici,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asociațiile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temporare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împreună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DUAE </w:t>
      </w:r>
      <w:proofErr w:type="spellStart"/>
      <w:r w:rsidRPr="00126BD2">
        <w:rPr>
          <w:rFonts w:ascii="Times New Roman" w:hAnsi="Times New Roman"/>
          <w:sz w:val="20"/>
          <w:szCs w:val="20"/>
        </w:rPr>
        <w:t>separat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cuprindă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II-V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fiecare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participanți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B1300E8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sunt </w:t>
      </w:r>
      <w:proofErr w:type="spellStart"/>
      <w:r w:rsidRPr="00126BD2">
        <w:rPr>
          <w:rFonts w:ascii="Times New Roman" w:hAnsi="Times New Roman"/>
          <w:sz w:val="20"/>
          <w:szCs w:val="20"/>
        </w:rPr>
        <w:t>membre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sz w:val="20"/>
          <w:szCs w:val="20"/>
        </w:rPr>
        <w:t>organismului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administrare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conducere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control al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putere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reprezentare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control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posibil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fiecare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trebuiască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același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normele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reglementează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protecția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datelor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3167090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un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Jurnalul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Uniunii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Europene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preluate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automat, cu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electronic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utilizat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generarea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DUAE.</w:t>
      </w:r>
    </w:p>
    <w:p w14:paraId="3EE92B90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notificări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automat de SEAP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evaluării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DUAE care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loc de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comunicari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parti, </w:t>
      </w:r>
      <w:proofErr w:type="spellStart"/>
      <w:r w:rsidRPr="00126BD2">
        <w:rPr>
          <w:rFonts w:ascii="Times New Roman" w:hAnsi="Times New Roman"/>
          <w:sz w:val="20"/>
          <w:szCs w:val="20"/>
        </w:rPr>
        <w:t>exceptie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facand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adresa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A.C. fie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intermediul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SEAP, fie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intermediul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emailului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</w:p>
    <w:p w14:paraId="123918D8" w14:textId="77777777" w:rsidR="005207AE" w:rsidRPr="00126BD2" w:rsidRDefault="005207AE" w:rsidP="005207AE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>2. INSTRUCȚIUNI PRIVIND GARANȚIILE SOLICITATE</w:t>
      </w:r>
    </w:p>
    <w:p w14:paraId="337ACEAB" w14:textId="77777777" w:rsidR="005207AE" w:rsidRPr="00126BD2" w:rsidRDefault="005207AE" w:rsidP="005207AE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 xml:space="preserve">A.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participare</w:t>
      </w:r>
      <w:proofErr w:type="spellEnd"/>
    </w:p>
    <w:p w14:paraId="09573271" w14:textId="77777777" w:rsidR="00D23DE1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Valoarea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garantiei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</w:t>
      </w:r>
      <w:r w:rsidR="00676829">
        <w:rPr>
          <w:rFonts w:ascii="Times New Roman" w:hAnsi="Times New Roman"/>
          <w:sz w:val="20"/>
          <w:szCs w:val="20"/>
        </w:rPr>
        <w:t xml:space="preserve"> 1</w:t>
      </w:r>
      <w:proofErr w:type="gramStart"/>
      <w:r w:rsidR="00676829">
        <w:rPr>
          <w:rFonts w:ascii="Times New Roman" w:hAnsi="Times New Roman"/>
          <w:sz w:val="20"/>
          <w:szCs w:val="20"/>
        </w:rPr>
        <w:t xml:space="preserve">% </w:t>
      </w:r>
      <w:r w:rsidR="00D23DE1">
        <w:rPr>
          <w:rFonts w:ascii="Times New Roman" w:hAnsi="Times New Roman"/>
          <w:sz w:val="20"/>
          <w:szCs w:val="20"/>
        </w:rPr>
        <w:t>.</w:t>
      </w:r>
      <w:proofErr w:type="gramEnd"/>
    </w:p>
    <w:p w14:paraId="7136D4FE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Conform Art. 35 (3)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lit.b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) din H.G. nr. 395/2016,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garanţiei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putin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egală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Fisa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date. </w:t>
      </w:r>
    </w:p>
    <w:p w14:paraId="5F95FA1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virament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bancar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-un instrument de </w:t>
      </w:r>
      <w:proofErr w:type="spellStart"/>
      <w:r w:rsidRPr="00126BD2">
        <w:rPr>
          <w:rFonts w:ascii="Times New Roman" w:hAnsi="Times New Roman"/>
          <w:sz w:val="20"/>
          <w:szCs w:val="20"/>
        </w:rPr>
        <w:t>garantare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emis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126BD2">
        <w:rPr>
          <w:rFonts w:ascii="Times New Roman" w:hAnsi="Times New Roman"/>
          <w:sz w:val="20"/>
          <w:szCs w:val="20"/>
        </w:rPr>
        <w:t>instituție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credit din </w:t>
      </w:r>
      <w:proofErr w:type="spellStart"/>
      <w:r w:rsidRPr="00126BD2">
        <w:rPr>
          <w:rFonts w:ascii="Times New Roman" w:hAnsi="Times New Roman"/>
          <w:sz w:val="20"/>
          <w:szCs w:val="20"/>
        </w:rPr>
        <w:t>România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alt stat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126BD2">
        <w:rPr>
          <w:rFonts w:ascii="Times New Roman" w:hAnsi="Times New Roman"/>
          <w:sz w:val="20"/>
          <w:szCs w:val="20"/>
        </w:rPr>
        <w:t>societate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irevocabilă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suma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prevăzute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17A88B98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Instrumentul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garantare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ordinul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virament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 </w:t>
      </w:r>
      <w:proofErr w:type="spellStart"/>
      <w:r w:rsidRPr="00126BD2">
        <w:rPr>
          <w:rFonts w:ascii="Times New Roman" w:hAnsi="Times New Roman"/>
          <w:sz w:val="20"/>
          <w:szCs w:val="20"/>
        </w:rPr>
        <w:t>împreună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celelalte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târziu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ora-limită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126BD2">
        <w:rPr>
          <w:rFonts w:ascii="Times New Roman" w:hAnsi="Times New Roman"/>
          <w:sz w:val="20"/>
          <w:szCs w:val="20"/>
        </w:rPr>
        <w:t>Instrumentul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garantare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prevadă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plata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necondiționat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respectiv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prima </w:t>
      </w:r>
      <w:proofErr w:type="spellStart"/>
      <w:r w:rsidRPr="00126BD2">
        <w:rPr>
          <w:rFonts w:ascii="Times New Roman" w:hAnsi="Times New Roman"/>
          <w:sz w:val="20"/>
          <w:szCs w:val="20"/>
        </w:rPr>
        <w:t>cerere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pe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culpa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garantate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7FFF905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viramentului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bancar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plata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realiza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fisa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date.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plată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încărcat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SEAP, </w:t>
      </w:r>
      <w:proofErr w:type="spellStart"/>
      <w:r w:rsidRPr="00126BD2">
        <w:rPr>
          <w:rFonts w:ascii="Times New Roman" w:hAnsi="Times New Roman"/>
          <w:sz w:val="20"/>
          <w:szCs w:val="20"/>
        </w:rPr>
        <w:t>semnat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electronică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insostit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dovada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achitarii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201147F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clarificări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scopul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original a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acesta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face </w:t>
      </w:r>
      <w:proofErr w:type="spellStart"/>
      <w:r w:rsidRPr="00126BD2">
        <w:rPr>
          <w:rFonts w:ascii="Times New Roman" w:hAnsi="Times New Roman"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categoria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regim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special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condiționată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forma </w:t>
      </w:r>
      <w:proofErr w:type="spellStart"/>
      <w:r w:rsidRPr="00126BD2">
        <w:rPr>
          <w:rFonts w:ascii="Times New Roman" w:hAnsi="Times New Roman"/>
          <w:sz w:val="20"/>
          <w:szCs w:val="20"/>
        </w:rPr>
        <w:t>originală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2E7C4A9E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asocierii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menționeze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acoperă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solidar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membrii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grupului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economici.</w:t>
      </w:r>
    </w:p>
    <w:p w14:paraId="71475A40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emisă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limbă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încărca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SEAP, </w:t>
      </w:r>
      <w:proofErr w:type="spellStart"/>
      <w:r w:rsidRPr="00126BD2">
        <w:rPr>
          <w:rFonts w:ascii="Times New Roman" w:hAnsi="Times New Roman"/>
          <w:sz w:val="20"/>
          <w:szCs w:val="20"/>
        </w:rPr>
        <w:t>însoțită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traducerea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autorizată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limba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română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urmând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ulterior, la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forma </w:t>
      </w:r>
      <w:proofErr w:type="spellStart"/>
      <w:r w:rsidRPr="00126BD2">
        <w:rPr>
          <w:rFonts w:ascii="Times New Roman" w:hAnsi="Times New Roman"/>
          <w:sz w:val="20"/>
          <w:szCs w:val="20"/>
        </w:rPr>
        <w:t>originală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emisă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reședință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95E34B2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returnează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bună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unui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acord-cadru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contract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obligatorie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bună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restituie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acordului-cadru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E187CCA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se </w:t>
      </w:r>
      <w:proofErr w:type="spellStart"/>
      <w:r w:rsidRPr="00126BD2">
        <w:rPr>
          <w:rFonts w:ascii="Times New Roman" w:hAnsi="Times New Roman"/>
          <w:sz w:val="20"/>
          <w:szCs w:val="20"/>
        </w:rPr>
        <w:t>restituie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acordului-cadru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târziu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C7808FA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restituie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126BD2">
        <w:rPr>
          <w:rFonts w:ascii="Times New Roman" w:hAnsi="Times New Roman"/>
          <w:sz w:val="20"/>
          <w:szCs w:val="20"/>
        </w:rPr>
        <w:t>expirării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târziu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dată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3FD567C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transmit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sens.</w:t>
      </w:r>
      <w:proofErr w:type="spellEnd"/>
    </w:p>
    <w:p w14:paraId="28EB899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restitui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sens.</w:t>
      </w:r>
      <w:proofErr w:type="spellEnd"/>
    </w:p>
    <w:p w14:paraId="6F0A6F0C" w14:textId="77777777" w:rsidR="005207AE" w:rsidRPr="00126BD2" w:rsidRDefault="005207AE" w:rsidP="005207AE">
      <w:pPr>
        <w:autoSpaceDE w:val="0"/>
        <w:autoSpaceDN w:val="0"/>
        <w:adjustRightInd w:val="0"/>
        <w:spacing w:after="120"/>
        <w:ind w:firstLine="720"/>
        <w:jc w:val="both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 xml:space="preserve">B.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bună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execuție</w:t>
      </w:r>
      <w:proofErr w:type="spellEnd"/>
    </w:p>
    <w:p w14:paraId="7E530F99" w14:textId="3685CD54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Cuantumul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bună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reprezintă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r w:rsidR="00352BB8">
        <w:rPr>
          <w:rFonts w:ascii="Times New Roman" w:hAnsi="Times New Roman"/>
          <w:sz w:val="20"/>
          <w:szCs w:val="20"/>
        </w:rPr>
        <w:t>10</w:t>
      </w:r>
      <w:r w:rsidRPr="00126BD2">
        <w:rPr>
          <w:rFonts w:ascii="Times New Roman" w:hAnsi="Times New Roman"/>
          <w:sz w:val="20"/>
          <w:szCs w:val="20"/>
        </w:rPr>
        <w:t xml:space="preserve"> % din </w:t>
      </w:r>
      <w:proofErr w:type="spellStart"/>
      <w:r w:rsidRPr="00126BD2">
        <w:rPr>
          <w:rFonts w:ascii="Times New Roman" w:hAnsi="Times New Roman"/>
          <w:sz w:val="20"/>
          <w:szCs w:val="20"/>
        </w:rPr>
        <w:t>prețul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26BD2">
        <w:rPr>
          <w:rFonts w:ascii="Times New Roman" w:hAnsi="Times New Roman"/>
          <w:sz w:val="20"/>
          <w:szCs w:val="20"/>
        </w:rPr>
        <w:t>fără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TVA)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art. 40 din </w:t>
      </w:r>
      <w:proofErr w:type="spellStart"/>
      <w:r w:rsidRPr="00126BD2">
        <w:rPr>
          <w:rFonts w:ascii="Times New Roman" w:hAnsi="Times New Roman"/>
          <w:sz w:val="20"/>
          <w:szCs w:val="20"/>
        </w:rPr>
        <w:t>Anexa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H.G. nr. 395/2016.</w:t>
      </w:r>
    </w:p>
    <w:p w14:paraId="538A64AE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7F454A0A" w14:textId="77777777" w:rsidR="005207AE" w:rsidRPr="00126BD2" w:rsidRDefault="005207AE" w:rsidP="005207AE">
      <w:pPr>
        <w:pStyle w:val="ListParagraph"/>
        <w:numPr>
          <w:ilvl w:val="0"/>
          <w:numId w:val="5"/>
        </w:num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26BD2">
        <w:rPr>
          <w:rFonts w:ascii="Times New Roman" w:eastAsia="Calibri" w:hAnsi="Times New Roman" w:cs="Times New Roman"/>
          <w:b/>
          <w:sz w:val="20"/>
          <w:szCs w:val="20"/>
        </w:rPr>
        <w:t>INSTRUCȚIUNI PRIVIND OFERTA</w:t>
      </w:r>
    </w:p>
    <w:p w14:paraId="203651E1" w14:textId="77777777" w:rsidR="005207AE" w:rsidRPr="00126BD2" w:rsidRDefault="005207AE" w:rsidP="005207AE">
      <w:pPr>
        <w:numPr>
          <w:ilvl w:val="0"/>
          <w:numId w:val="4"/>
        </w:numPr>
        <w:spacing w:after="120" w:line="276" w:lineRule="auto"/>
        <w:ind w:firstLine="0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Modul de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prezentare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tehnice</w:t>
      </w:r>
      <w:proofErr w:type="spellEnd"/>
    </w:p>
    <w:p w14:paraId="5EEFDC1C" w14:textId="77777777" w:rsidR="005207AE" w:rsidRPr="00126BD2" w:rsidRDefault="005207AE" w:rsidP="005207AE">
      <w:pPr>
        <w:spacing w:after="120"/>
        <w:ind w:left="720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A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vedea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detaliile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o-RO"/>
        </w:rPr>
        <w:t>caietul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o-RO"/>
        </w:rPr>
        <w:t>sarcini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o-RO"/>
        </w:rPr>
        <w:t xml:space="preserve"> .</w:t>
      </w:r>
      <w:proofErr w:type="gramEnd"/>
    </w:p>
    <w:p w14:paraId="32DC00EE" w14:textId="77777777" w:rsidR="005207AE" w:rsidRPr="00126BD2" w:rsidRDefault="005207AE" w:rsidP="005207AE">
      <w:pPr>
        <w:numPr>
          <w:ilvl w:val="0"/>
          <w:numId w:val="4"/>
        </w:numPr>
        <w:spacing w:after="120" w:line="276" w:lineRule="auto"/>
        <w:ind w:firstLine="0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Modul de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prezentare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financiare</w:t>
      </w:r>
      <w:proofErr w:type="spellEnd"/>
    </w:p>
    <w:p w14:paraId="3D1C6D5F" w14:textId="77777777" w:rsidR="005207AE" w:rsidRPr="00126BD2" w:rsidRDefault="005207AE" w:rsidP="005207AE">
      <w:pPr>
        <w:pStyle w:val="ListParagraph"/>
        <w:spacing w:after="12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26BD2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A se vedea detaliile din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caietul de sarcini.</w:t>
      </w:r>
    </w:p>
    <w:p w14:paraId="069CB739" w14:textId="77777777" w:rsidR="005207AE" w:rsidRPr="00126BD2" w:rsidRDefault="005207AE" w:rsidP="005207AE">
      <w:pPr>
        <w:numPr>
          <w:ilvl w:val="0"/>
          <w:numId w:val="4"/>
        </w:numPr>
        <w:spacing w:after="120" w:line="276" w:lineRule="auto"/>
        <w:ind w:firstLine="0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Modul de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prezentare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gram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a</w:t>
      </w:r>
      <w:proofErr w:type="gram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ofertei</w:t>
      </w:r>
      <w:proofErr w:type="spellEnd"/>
    </w:p>
    <w:p w14:paraId="452DB3CA" w14:textId="77777777" w:rsidR="005207AE" w:rsidRPr="00126BD2" w:rsidRDefault="005207AE" w:rsidP="005207AE">
      <w:pPr>
        <w:spacing w:after="120"/>
        <w:ind w:firstLine="7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A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vedea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detaliile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sectiunile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fisei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date</w:t>
      </w:r>
    </w:p>
    <w:p w14:paraId="05571B1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b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>:</w:t>
      </w:r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termenul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Fisa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date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termenul-limită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specificat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termen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IV.2.6)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minimă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mențină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9B5DDA5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circumstanțe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excepționale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prelungească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a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10502E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un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fiind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inacceptabilă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84DD48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126BD2">
        <w:rPr>
          <w:rFonts w:ascii="Times New Roman" w:hAnsi="Times New Roman"/>
          <w:b/>
          <w:sz w:val="20"/>
          <w:szCs w:val="20"/>
        </w:rPr>
        <w:t>Termenul-limită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Ofertelor</w:t>
      </w:r>
      <w:proofErr w:type="spellEnd"/>
    </w:p>
    <w:p w14:paraId="6CDE184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Ofertele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mijloace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electronice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târziu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data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menționate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corespunzător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IV.2.2. Termen </w:t>
      </w:r>
      <w:proofErr w:type="spellStart"/>
      <w:r w:rsidRPr="00126BD2">
        <w:rPr>
          <w:rFonts w:ascii="Times New Roman" w:hAnsi="Times New Roman"/>
          <w:sz w:val="20"/>
          <w:szCs w:val="20"/>
        </w:rPr>
        <w:t>limita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cererilor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1F5542B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specificate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referă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locală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României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(GMT+2 ore).</w:t>
      </w:r>
    </w:p>
    <w:p w14:paraId="24ED3CE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Ofertele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mijloace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luate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considerare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C45216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 w:rsidRPr="00126BD2">
        <w:rPr>
          <w:rFonts w:ascii="Times New Roman" w:hAnsi="Times New Roman"/>
          <w:i/>
          <w:sz w:val="20"/>
          <w:szCs w:val="20"/>
        </w:rPr>
        <w:t xml:space="preserve">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priveste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termenele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limita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transmitere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solicitarilor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clarificari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raspuns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solicitarile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clarificari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detaliile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regasesc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in F.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D.A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(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Fisa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date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Achizitiei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).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Anuntul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431F904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126BD2">
        <w:rPr>
          <w:rFonts w:ascii="Times New Roman" w:hAnsi="Times New Roman"/>
          <w:b/>
          <w:sz w:val="20"/>
          <w:szCs w:val="20"/>
        </w:rPr>
        <w:t>Retragerea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înlocuirea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modificarea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Ofertelor</w:t>
      </w:r>
      <w:proofErr w:type="spellEnd"/>
    </w:p>
    <w:p w14:paraId="2CEF23E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Sistemul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electronic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 xml:space="preserve">Economici  </w:t>
      </w:r>
      <w:proofErr w:type="spellStart"/>
      <w:r w:rsidRPr="00126BD2">
        <w:rPr>
          <w:rFonts w:ascii="Times New Roman" w:hAnsi="Times New Roman"/>
          <w:sz w:val="20"/>
          <w:szCs w:val="20"/>
        </w:rPr>
        <w:t>posibilitatea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de a-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retrage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înlocui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6D401CA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De </w:t>
      </w:r>
      <w:proofErr w:type="spellStart"/>
      <w:r w:rsidRPr="00126BD2">
        <w:rPr>
          <w:rFonts w:ascii="Times New Roman" w:hAnsi="Times New Roman"/>
          <w:sz w:val="20"/>
          <w:szCs w:val="20"/>
        </w:rPr>
        <w:t>asemenea</w:t>
      </w:r>
      <w:proofErr w:type="spellEnd"/>
      <w:r w:rsidRPr="00126BD2">
        <w:rPr>
          <w:rFonts w:ascii="Times New Roman" w:hAnsi="Times New Roman"/>
          <w:sz w:val="20"/>
          <w:szCs w:val="20"/>
        </w:rPr>
        <w:t>, „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preț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”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redepusă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termenul-limită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F98B33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Nicio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înlocuită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termenul-limită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0206926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nu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a-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retrage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a-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reglementate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legislație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probării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circumstanțelor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respective, sub </w:t>
      </w:r>
      <w:proofErr w:type="spellStart"/>
      <w:r w:rsidRPr="00126BD2">
        <w:rPr>
          <w:rFonts w:ascii="Times New Roman" w:hAnsi="Times New Roman"/>
          <w:sz w:val="20"/>
          <w:szCs w:val="20"/>
        </w:rPr>
        <w:t>sancțiunea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excluderii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666EAFA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126BD2">
        <w:rPr>
          <w:rFonts w:ascii="Times New Roman" w:hAnsi="Times New Roman"/>
          <w:b/>
          <w:sz w:val="20"/>
          <w:szCs w:val="20"/>
        </w:rPr>
        <w:t>Accesarea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/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deschiderea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Ofertelor</w:t>
      </w:r>
      <w:proofErr w:type="spellEnd"/>
    </w:p>
    <w:p w14:paraId="3F561D4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Ca </w:t>
      </w:r>
      <w:proofErr w:type="spellStart"/>
      <w:r w:rsidRPr="00126BD2">
        <w:rPr>
          <w:rFonts w:ascii="Times New Roman" w:hAnsi="Times New Roman"/>
          <w:sz w:val="20"/>
          <w:szCs w:val="20"/>
        </w:rPr>
        <w:t>regulă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generală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întrucât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desfășoară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online,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termenul-limită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accesa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SEAP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65AEAED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măsurile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S.E.A.P.,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format electronic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așa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evidențiată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Riscurile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forța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majoră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cad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sarcina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economic.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fac </w:t>
      </w:r>
      <w:proofErr w:type="spellStart"/>
      <w:r w:rsidRPr="00126BD2">
        <w:rPr>
          <w:rFonts w:ascii="Times New Roman" w:hAnsi="Times New Roman"/>
          <w:sz w:val="20"/>
          <w:szCs w:val="20"/>
        </w:rPr>
        <w:t>dovada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respinse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976842F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Nu se </w:t>
      </w:r>
      <w:proofErr w:type="spellStart"/>
      <w:r w:rsidRPr="00126BD2">
        <w:rPr>
          <w:rFonts w:ascii="Times New Roman" w:hAnsi="Times New Roman"/>
          <w:sz w:val="20"/>
          <w:szCs w:val="20"/>
        </w:rPr>
        <w:t>acceptă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nesemnate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electronică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extinsă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validă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semnatarului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bazată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un </w:t>
      </w:r>
      <w:proofErr w:type="spellStart"/>
      <w:r w:rsidRPr="00126BD2">
        <w:rPr>
          <w:rFonts w:ascii="Times New Roman" w:hAnsi="Times New Roman"/>
          <w:sz w:val="20"/>
          <w:szCs w:val="20"/>
        </w:rPr>
        <w:t>certificat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nesuspendat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nerevocat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momentul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referitoare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semnătură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electronică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avea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împrejurarea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lipsa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criptării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prețului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S.E.A.P. conduce la </w:t>
      </w:r>
      <w:proofErr w:type="spellStart"/>
      <w:r w:rsidRPr="00126BD2">
        <w:rPr>
          <w:rFonts w:ascii="Times New Roman" w:hAnsi="Times New Roman"/>
          <w:sz w:val="20"/>
          <w:szCs w:val="20"/>
        </w:rPr>
        <w:t>imposibilitatea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accesării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eventualelor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deja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încărcate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secțiunile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aferente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2B9F89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nu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a-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retrage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a-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expres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reglementate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legislație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probării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circumstanțelor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respective, sub </w:t>
      </w:r>
      <w:proofErr w:type="spellStart"/>
      <w:r w:rsidRPr="00126BD2">
        <w:rPr>
          <w:rFonts w:ascii="Times New Roman" w:hAnsi="Times New Roman"/>
          <w:sz w:val="20"/>
          <w:szCs w:val="20"/>
        </w:rPr>
        <w:t>sancțiunea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excluderii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383442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se </w:t>
      </w:r>
      <w:proofErr w:type="spellStart"/>
      <w:r w:rsidRPr="00126BD2">
        <w:rPr>
          <w:rFonts w:ascii="Times New Roman" w:hAnsi="Times New Roman"/>
          <w:sz w:val="20"/>
          <w:szCs w:val="20"/>
        </w:rPr>
        <w:t>evita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apariția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erori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analizării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verificării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numerotarea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prima la ultima </w:t>
      </w:r>
      <w:proofErr w:type="spellStart"/>
      <w:r w:rsidRPr="00126BD2">
        <w:rPr>
          <w:rFonts w:ascii="Times New Roman" w:hAnsi="Times New Roman"/>
          <w:sz w:val="20"/>
          <w:szCs w:val="20"/>
        </w:rPr>
        <w:t>pagina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paginilor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celorlalte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însoțesc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identificate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facil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1DD9561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eliberate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instituții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organisme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datate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semnate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parafate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conform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vigoare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scanate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format </w:t>
      </w:r>
      <w:proofErr w:type="spellStart"/>
      <w:r w:rsidRPr="00126BD2">
        <w:rPr>
          <w:rFonts w:ascii="Times New Roman" w:hAnsi="Times New Roman"/>
          <w:sz w:val="20"/>
          <w:szCs w:val="20"/>
        </w:rPr>
        <w:t>lizibil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sz w:val="20"/>
          <w:szCs w:val="20"/>
        </w:rPr>
        <w:t>mențiunea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„conform cu </w:t>
      </w:r>
      <w:proofErr w:type="spellStart"/>
      <w:r w:rsidRPr="00126BD2">
        <w:rPr>
          <w:rFonts w:ascii="Times New Roman" w:hAnsi="Times New Roman"/>
          <w:sz w:val="20"/>
          <w:szCs w:val="20"/>
        </w:rPr>
        <w:t>originalul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”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electronic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5C8A1B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Nerespectarea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instrucțiunilor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neprezentarea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solicitate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corespunzător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formă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improprie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face </w:t>
      </w:r>
      <w:proofErr w:type="spellStart"/>
      <w:r w:rsidRPr="00126BD2">
        <w:rPr>
          <w:rFonts w:ascii="Times New Roman" w:hAnsi="Times New Roman"/>
          <w:sz w:val="20"/>
          <w:szCs w:val="20"/>
        </w:rPr>
        <w:t>imposibila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vizualizarea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conținutului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sunt </w:t>
      </w:r>
      <w:proofErr w:type="spellStart"/>
      <w:r w:rsidRPr="00126BD2">
        <w:rPr>
          <w:rFonts w:ascii="Times New Roman" w:hAnsi="Times New Roman"/>
          <w:sz w:val="20"/>
          <w:szCs w:val="20"/>
        </w:rPr>
        <w:t>activități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realizate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riscul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eșecul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îndeplinească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cerințele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minime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instrucțiunile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prezentare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indicate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conduce la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respingerea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fiind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inacceptabilă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neconformă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neadecvată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corespunzător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dispozițiilor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incidente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activitățile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fac </w:t>
      </w:r>
      <w:proofErr w:type="spellStart"/>
      <w:r w:rsidRPr="00126BD2">
        <w:rPr>
          <w:rFonts w:ascii="Times New Roman" w:hAnsi="Times New Roman"/>
          <w:sz w:val="20"/>
          <w:szCs w:val="20"/>
        </w:rPr>
        <w:t>obiectul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contract. </w:t>
      </w:r>
    </w:p>
    <w:p w14:paraId="6CF1093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poartă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examinarea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atenția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cuvenită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oricărei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clarificări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aduse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timpul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pregătire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răspunsurile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solicitările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clarificări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obținerea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necesare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cerințe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pot </w:t>
      </w:r>
      <w:proofErr w:type="spellStart"/>
      <w:r w:rsidRPr="00126BD2">
        <w:rPr>
          <w:rFonts w:ascii="Times New Roman" w:hAnsi="Times New Roman"/>
          <w:sz w:val="20"/>
          <w:szCs w:val="20"/>
        </w:rPr>
        <w:t>afecta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vreun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valoarea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stabilite</w:t>
      </w:r>
      <w:proofErr w:type="spellEnd"/>
      <w:r w:rsidRPr="00126BD2">
        <w:rPr>
          <w:rFonts w:ascii="Times New Roman" w:hAnsi="Times New Roman"/>
          <w:sz w:val="20"/>
          <w:szCs w:val="20"/>
        </w:rPr>
        <w:t>, natura/</w:t>
      </w:r>
      <w:proofErr w:type="spellStart"/>
      <w:r w:rsidRPr="00126BD2">
        <w:rPr>
          <w:rFonts w:ascii="Times New Roman" w:hAnsi="Times New Roman"/>
          <w:sz w:val="20"/>
          <w:szCs w:val="20"/>
        </w:rPr>
        <w:t>conținutul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5FBD9CC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Niciun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cost </w:t>
      </w:r>
      <w:proofErr w:type="spellStart"/>
      <w:r w:rsidRPr="00126BD2">
        <w:rPr>
          <w:rFonts w:ascii="Times New Roman" w:hAnsi="Times New Roman"/>
          <w:sz w:val="20"/>
          <w:szCs w:val="20"/>
        </w:rPr>
        <w:t>suportat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pregătirea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rambursat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suportate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integral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indiferent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59DF5E52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acceptă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prealabil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generale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particulare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guvernează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viitorul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contract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sunt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ca </w:t>
      </w:r>
      <w:proofErr w:type="spellStart"/>
      <w:r w:rsidRPr="00126BD2">
        <w:rPr>
          <w:rFonts w:ascii="Times New Roman" w:hAnsi="Times New Roman"/>
          <w:sz w:val="20"/>
          <w:szCs w:val="20"/>
        </w:rPr>
        <w:t>fiind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singura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bază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desfășurare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indiferent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69324954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Prezumția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legalitate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autenticitate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asumă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exclusivă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autenticitatea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original, </w:t>
      </w:r>
      <w:proofErr w:type="spellStart"/>
      <w:r w:rsidRPr="00126BD2">
        <w:rPr>
          <w:rFonts w:ascii="Times New Roman" w:hAnsi="Times New Roman"/>
          <w:sz w:val="20"/>
          <w:szCs w:val="20"/>
        </w:rPr>
        <w:t>copie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copie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„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originalul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”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vederea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scop, </w:t>
      </w:r>
      <w:proofErr w:type="spellStart"/>
      <w:r w:rsidRPr="00126BD2">
        <w:rPr>
          <w:rFonts w:ascii="Times New Roman" w:hAnsi="Times New Roman"/>
          <w:sz w:val="20"/>
          <w:szCs w:val="20"/>
        </w:rPr>
        <w:t>analizarea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comisia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angajează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partea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nicio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acceptarea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respectivelor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fiind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autentice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înlătură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răspunderea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exclusivă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sub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aspect.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care, fie nu </w:t>
      </w:r>
      <w:proofErr w:type="spellStart"/>
      <w:r w:rsidRPr="00126BD2">
        <w:rPr>
          <w:rFonts w:ascii="Times New Roman" w:hAnsi="Times New Roman"/>
          <w:sz w:val="20"/>
          <w:szCs w:val="20"/>
        </w:rPr>
        <w:t>prezintă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prezintă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parțiale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propria lor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incidenta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excludere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se fac </w:t>
      </w:r>
      <w:proofErr w:type="spellStart"/>
      <w:r w:rsidRPr="00126BD2">
        <w:rPr>
          <w:rFonts w:ascii="Times New Roman" w:hAnsi="Times New Roman"/>
          <w:sz w:val="20"/>
          <w:szCs w:val="20"/>
        </w:rPr>
        <w:t>vinovați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false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conținutul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solicitarea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corespunzător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dispozițiilor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consecințelor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incidente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933F7AD" w14:textId="77777777" w:rsidR="005207AE" w:rsidRPr="00126BD2" w:rsidRDefault="005207AE" w:rsidP="005207AE">
      <w:pPr>
        <w:pStyle w:val="ListParagraph"/>
        <w:numPr>
          <w:ilvl w:val="0"/>
          <w:numId w:val="5"/>
        </w:numPr>
        <w:spacing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26BD2">
        <w:rPr>
          <w:rFonts w:ascii="Times New Roman" w:eastAsia="Calibri" w:hAnsi="Times New Roman" w:cs="Times New Roman"/>
          <w:b/>
          <w:sz w:val="20"/>
          <w:szCs w:val="20"/>
        </w:rPr>
        <w:t xml:space="preserve">INSTRUCȚIUNI  PRIVIND </w:t>
      </w:r>
      <w:r w:rsidR="00D23DE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26BD2">
        <w:rPr>
          <w:rFonts w:ascii="Times New Roman" w:eastAsia="Calibri" w:hAnsi="Times New Roman" w:cs="Times New Roman"/>
          <w:b/>
          <w:sz w:val="20"/>
          <w:szCs w:val="20"/>
        </w:rPr>
        <w:t>CRITERIUL DE ATRIBUIRE</w:t>
      </w:r>
    </w:p>
    <w:p w14:paraId="69B191B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/sectorial/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acordul-cadru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depus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avantajoasă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economic.</w:t>
      </w:r>
    </w:p>
    <w:p w14:paraId="5C3032EF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stabilește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avantajoasă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prevăzuți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401ED4A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determinarea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avantajoase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unul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:</w:t>
      </w:r>
    </w:p>
    <w:p w14:paraId="79D14F6D" w14:textId="77777777" w:rsidR="005207AE" w:rsidRPr="00A937C6" w:rsidRDefault="00A937C6" w:rsidP="005207AE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37C6">
        <w:rPr>
          <w:rFonts w:ascii="Times New Roman" w:hAnsi="Times New Roman"/>
          <w:b/>
        </w:rPr>
        <w:t>pretul cel mai scazut</w:t>
      </w:r>
      <w:r w:rsidRPr="00A937C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14:paraId="6DE10859" w14:textId="77777777" w:rsidR="005207AE" w:rsidRPr="00126BD2" w:rsidRDefault="005207AE" w:rsidP="005207AE">
      <w:pPr>
        <w:pStyle w:val="ListParagraph"/>
        <w:spacing w:after="120"/>
        <w:ind w:left="108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D0A32FE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3B53336F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nu 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prețul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scăzut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decât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achiziționează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valoare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estimată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depășește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pragurile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prevăzute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la art. 7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alin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(1)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Legea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nr. 98/2016,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modificările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completările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ulterioare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01E8F83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aibă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legătură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directă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obiectul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acordului-cadru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referă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mod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temeiul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/sectorial/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acordului-cadru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stadiu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lor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chiar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acești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nu fac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substanța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materială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respective.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legătură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cu:</w:t>
      </w:r>
    </w:p>
    <w:p w14:paraId="618786CF" w14:textId="77777777" w:rsidR="005207AE" w:rsidRPr="00126BD2" w:rsidRDefault="005207AE" w:rsidP="005207AE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procesul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specific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producție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comercializare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;</w:t>
      </w:r>
    </w:p>
    <w:p w14:paraId="274BA6D1" w14:textId="77777777" w:rsidR="005207AE" w:rsidRPr="00126BD2" w:rsidRDefault="005207AE" w:rsidP="005207AE">
      <w:pPr>
        <w:numPr>
          <w:ilvl w:val="0"/>
          <w:numId w:val="9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6BD2">
        <w:rPr>
          <w:rFonts w:ascii="Times New Roman" w:hAnsi="Times New Roman"/>
          <w:i/>
          <w:sz w:val="20"/>
          <w:szCs w:val="20"/>
        </w:rPr>
        <w:t xml:space="preserve">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proces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specific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un alt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stadiu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1C4B74D2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asigure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concurență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reală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însoțiți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prevederi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permită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verificarea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efectivă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scopul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când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consideră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necesar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verifică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exactitatea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informațiilor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dovezilor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15CD6E6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precizează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ponderea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relativă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care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fiecărui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factor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determinarea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avantajoase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economic,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excepția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avantajoasă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determinată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prețului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scăzut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Ponderile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relative pot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raportare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r w:rsidRPr="00126BD2">
        <w:rPr>
          <w:rFonts w:ascii="Times New Roman" w:hAnsi="Times New Roman"/>
          <w:i/>
          <w:sz w:val="20"/>
          <w:szCs w:val="20"/>
        </w:rPr>
        <w:lastRenderedPageBreak/>
        <w:t xml:space="preserve">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intervale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valorice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stabilirea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ponderi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posibilă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din motive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obiective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indică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ordinea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descrescătoare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importanței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05118EFC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două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multe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sunt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echivalente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suplimentar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exemplu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combaterea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șomajului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menționa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explicit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0DA70F0D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 w:rsidRPr="00126BD2">
        <w:rPr>
          <w:rFonts w:ascii="Times New Roman" w:hAnsi="Times New Roman"/>
          <w:i/>
          <w:sz w:val="20"/>
          <w:szCs w:val="20"/>
        </w:rPr>
        <w:t xml:space="preserve">Ca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regulă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generală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bun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raport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calitate-preț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-cost include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regulă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un element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preț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cost.</w:t>
      </w:r>
    </w:p>
    <w:p w14:paraId="5CF90D5C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excepție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iniția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procedură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buget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fix,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elementul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preț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cost 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are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valoare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fixă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referă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aspecte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calitative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fac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obiectul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acestei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metode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buget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fix,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comisia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parcurge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două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etape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respectiv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:</w:t>
      </w:r>
    </w:p>
    <w:p w14:paraId="59825FA2" w14:textId="77777777" w:rsidR="005207AE" w:rsidRPr="00126BD2" w:rsidRDefault="005207AE" w:rsidP="005207AE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Comisia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întâi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propunerile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stabilește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clasamentul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acestora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ordinea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descrescătoare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punctajelor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algoritmului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799BA230" w14:textId="77777777" w:rsidR="005207AE" w:rsidRPr="00126BD2" w:rsidRDefault="005207AE" w:rsidP="005207AE">
      <w:pPr>
        <w:numPr>
          <w:ilvl w:val="0"/>
          <w:numId w:val="8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Ofertele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propuneri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financiare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prevăd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preț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decât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valoarea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bugetului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fix,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prevăzut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sunt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respinse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comisia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întocmește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clasamentul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final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rămase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competiție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ordinea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descrescătoare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punctajelor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62AA118F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bun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raport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calitate-preț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-cost,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includ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aspecte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calitative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mediu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sociale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legătură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obiectul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/sectorial/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acordului-cadru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pot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viza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printre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:</w:t>
      </w:r>
    </w:p>
    <w:p w14:paraId="31707A2F" w14:textId="77777777" w:rsidR="005207AE" w:rsidRPr="00126BD2" w:rsidRDefault="005207AE" w:rsidP="005207AE">
      <w:pPr>
        <w:numPr>
          <w:ilvl w:val="0"/>
          <w:numId w:val="7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avantajele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caracteristicile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estetice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funcționale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accesibilitatea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conceptul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proiectare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toți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caracteristicile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sociale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mediu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inovatoare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comercializarea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acestora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;</w:t>
      </w:r>
    </w:p>
    <w:p w14:paraId="430C31BE" w14:textId="77777777" w:rsidR="005207AE" w:rsidRPr="00126BD2" w:rsidRDefault="005207AE" w:rsidP="005207AE">
      <w:pPr>
        <w:numPr>
          <w:ilvl w:val="0"/>
          <w:numId w:val="7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organizarea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calificarea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experiența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personalului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executarea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personalului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aibă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un impact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semnificativ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asupra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nivelului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calitativ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executare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;</w:t>
      </w:r>
    </w:p>
    <w:p w14:paraId="45DD299A" w14:textId="77777777" w:rsidR="005207AE" w:rsidRPr="00126BD2" w:rsidRDefault="005207AE" w:rsidP="005207AE">
      <w:pPr>
        <w:numPr>
          <w:ilvl w:val="0"/>
          <w:numId w:val="7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serviciile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postvânzare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asistență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tehnică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livrare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 data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livrării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procesul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livrare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termenul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livrare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finalizare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5091E225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Costul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scăzut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determină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considerente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rentabilitate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utilizând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factori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precum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calcularea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Calcularea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acoperă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măsura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sunt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relevante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unui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:</w:t>
      </w:r>
    </w:p>
    <w:p w14:paraId="079D802F" w14:textId="77777777" w:rsidR="005207AE" w:rsidRPr="00126BD2" w:rsidRDefault="005207AE" w:rsidP="005207AE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suportate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legate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consumul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energie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resurse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întreținere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sfârșitul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colectare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reciclare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;</w:t>
      </w:r>
    </w:p>
    <w:p w14:paraId="404B3D47" w14:textId="77777777" w:rsidR="005207AE" w:rsidRPr="00126BD2" w:rsidRDefault="005207AE" w:rsidP="005207AE">
      <w:pPr>
        <w:numPr>
          <w:ilvl w:val="0"/>
          <w:numId w:val="10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determinate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efecte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externe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asupra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mediului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legătură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produsul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condiția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valoarea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pecuniară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i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acestora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determinată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verificată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aceste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pot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includă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emisiilor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gaze cu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efect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seră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altor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emisii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poluante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atenuare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efectelor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schimbărilor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climatice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217A9B1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folosind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abordare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aceasta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indică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datele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metoda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utilizeze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stabili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datelor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respective.</w:t>
      </w:r>
    </w:p>
    <w:p w14:paraId="779CBA70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Metoda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utilizată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determinate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efectele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externe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asupra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mediului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îndeplinească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cumulativ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condiții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:</w:t>
      </w:r>
    </w:p>
    <w:p w14:paraId="52A948E8" w14:textId="77777777" w:rsidR="005207AE" w:rsidRPr="00126BD2" w:rsidRDefault="005207AE" w:rsidP="005207AE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126BD2">
        <w:rPr>
          <w:rFonts w:ascii="Times New Roman" w:hAnsi="Times New Roman"/>
          <w:i/>
          <w:sz w:val="20"/>
          <w:szCs w:val="20"/>
        </w:rPr>
        <w:lastRenderedPageBreak/>
        <w:t xml:space="preserve">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bazează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criterii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nediscriminatorii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verificabile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obiectiv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;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special,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nu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stabilită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vederea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repetate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continue, nu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favorizează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dezavantajează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mod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nejustificat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anumiți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economici;</w:t>
      </w:r>
    </w:p>
    <w:p w14:paraId="435ECD9D" w14:textId="77777777" w:rsidR="005207AE" w:rsidRPr="00126BD2" w:rsidRDefault="005207AE" w:rsidP="005207AE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accesibilă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părților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interesate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;</w:t>
      </w:r>
    </w:p>
    <w:p w14:paraId="2702D801" w14:textId="77777777" w:rsidR="005207AE" w:rsidRPr="00126BD2" w:rsidRDefault="005207AE" w:rsidP="005207AE">
      <w:pPr>
        <w:numPr>
          <w:ilvl w:val="0"/>
          <w:numId w:val="11"/>
        </w:numPr>
        <w:spacing w:after="120" w:line="276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datele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solicitate pot fi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furnizate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printr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-un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efort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rezonabil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economici care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dovadă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diligență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obișnuită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operatori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economici din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țări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terțe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sunt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achizițiile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Organizației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Mondiale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Comerțului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acorduri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internaționale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cărora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Uniunea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Europeană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-a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asumat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obligații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</w:t>
      </w:r>
    </w:p>
    <w:p w14:paraId="33255B48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toate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cazurile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care o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metodă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comună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calculare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viaţă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devenit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obligatorie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printr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-un act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normativ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adoptat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nivelul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Uniunii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Europene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respectiva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metodă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comună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aplică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evaluarea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costurilor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ciclului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i/>
          <w:sz w:val="20"/>
          <w:szCs w:val="20"/>
        </w:rPr>
        <w:t>viață</w:t>
      </w:r>
      <w:proofErr w:type="spellEnd"/>
      <w:r w:rsidRPr="00126BD2">
        <w:rPr>
          <w:rFonts w:ascii="Times New Roman" w:hAnsi="Times New Roman"/>
          <w:i/>
          <w:sz w:val="20"/>
          <w:szCs w:val="20"/>
        </w:rPr>
        <w:t>.]</w:t>
      </w:r>
    </w:p>
    <w:p w14:paraId="3B2BA67C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149EA7E9" w14:textId="77777777" w:rsidR="005207AE" w:rsidRPr="00126BD2" w:rsidRDefault="005207AE" w:rsidP="005207AE">
      <w:pPr>
        <w:spacing w:after="120" w:line="276" w:lineRule="auto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 xml:space="preserve">                                    5.INSTRUCȚIUNI PRIVIND EVALUAREA OFERTELOR</w:t>
      </w:r>
    </w:p>
    <w:p w14:paraId="259C465A" w14:textId="77777777" w:rsidR="005207AE" w:rsidRPr="00126BD2" w:rsidRDefault="005207AE" w:rsidP="005207AE">
      <w:pPr>
        <w:numPr>
          <w:ilvl w:val="0"/>
          <w:numId w:val="13"/>
        </w:numPr>
        <w:spacing w:after="120" w:line="276" w:lineRule="auto"/>
        <w:ind w:left="1080"/>
        <w:rPr>
          <w:rFonts w:ascii="Times New Roman" w:eastAsia="Times New Roman" w:hAnsi="Times New Roman"/>
          <w:b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Evaluarea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Tehnice</w:t>
      </w:r>
      <w:proofErr w:type="spellEnd"/>
    </w:p>
    <w:p w14:paraId="7743A0B7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Pe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parcursul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Comisia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verifica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:</w:t>
      </w:r>
    </w:p>
    <w:p w14:paraId="78798B42" w14:textId="77777777" w:rsidR="005207AE" w:rsidRPr="00126BD2" w:rsidRDefault="005207AE" w:rsidP="005207AE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întregul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obiect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Nu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accepta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numai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obiectul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69E049B3" w14:textId="77777777" w:rsidR="005207AE" w:rsidRPr="00126BD2" w:rsidRDefault="005207AE" w:rsidP="005207AE">
      <w:pPr>
        <w:numPr>
          <w:ilvl w:val="0"/>
          <w:numId w:val="1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demonstrează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îndeplinirea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tuturor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minime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Caietul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sarcini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5C78596D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vederea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finalizării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acestora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100B9F0A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transmit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răspunsul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după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cum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descris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jos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secțiunea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solicitate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28E10073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finalul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introduce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numele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căror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admisibile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precum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căror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fost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declarate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inacceptabile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neconforme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5ADB0FFF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primi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notificări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automat de SEAP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rezultatul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tine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loc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parti,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exceptie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proofErr w:type="gram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facand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comunicarea</w:t>
      </w:r>
      <w:proofErr w:type="spellEnd"/>
      <w:proofErr w:type="gram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finala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reprezenta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adresa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oficiala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acatre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A.C. fie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SEAP, fie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emailului</w:t>
      </w:r>
      <w:proofErr w:type="spellEnd"/>
    </w:p>
    <w:p w14:paraId="210189C6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530F2621" w14:textId="77777777" w:rsidR="005207AE" w:rsidRPr="00126BD2" w:rsidRDefault="005207AE" w:rsidP="005207AE">
      <w:pPr>
        <w:numPr>
          <w:ilvl w:val="0"/>
          <w:numId w:val="13"/>
        </w:numPr>
        <w:spacing w:after="120" w:line="276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Evaluarea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Financiare</w:t>
      </w:r>
      <w:proofErr w:type="spellEnd"/>
    </w:p>
    <w:p w14:paraId="0736987B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După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notificarea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rezultatului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valorile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decriptează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vizibile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împreună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fundamentare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valorii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SEAP.</w:t>
      </w:r>
    </w:p>
    <w:p w14:paraId="54846E04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Pe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parcursul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Comisia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verifica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:</w:t>
      </w:r>
    </w:p>
    <w:p w14:paraId="777D664B" w14:textId="77777777" w:rsidR="005207AE" w:rsidRPr="00126BD2" w:rsidRDefault="005207AE" w:rsidP="005207AE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întregul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obiect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Nu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acceptă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numai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obiectul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20CA3918" w14:textId="77777777" w:rsidR="005207AE" w:rsidRPr="00126BD2" w:rsidRDefault="005207AE" w:rsidP="005207AE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corelată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informațiile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incluse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descrise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trebuie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acoperite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08FD0C4A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Activitățile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descrise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nu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incluse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preturi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considerate ca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fiind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incluse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prezentate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</w:t>
      </w:r>
    </w:p>
    <w:p w14:paraId="6ECD19B1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lastRenderedPageBreak/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plăti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nimic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plus,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chiar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realizate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timpul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executării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4D5F9EF3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informațiilor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prezentate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6861AFA9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realizează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SEAP.</w:t>
      </w:r>
    </w:p>
    <w:p w14:paraId="069CC901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transmit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răspunsul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după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cum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descris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jos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secțiunea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solicitate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primi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notificări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automat de SEAP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rezultatul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tine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loc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parti,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exceptie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proofErr w:type="gram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facand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comunicarea</w:t>
      </w:r>
      <w:proofErr w:type="spellEnd"/>
      <w:proofErr w:type="gram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finala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reprezenta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adresa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oficiala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acatre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A.C. fie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SEAP, fie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emailului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47D7E056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</w:p>
    <w:p w14:paraId="3FC62D31" w14:textId="77777777" w:rsidR="005207AE" w:rsidRPr="00126BD2" w:rsidRDefault="005207AE" w:rsidP="005207AE">
      <w:pPr>
        <w:numPr>
          <w:ilvl w:val="0"/>
          <w:numId w:val="13"/>
        </w:numPr>
        <w:spacing w:after="120" w:line="276" w:lineRule="auto"/>
        <w:rPr>
          <w:rFonts w:ascii="Times New Roman" w:eastAsia="Times New Roman" w:hAnsi="Times New Roman"/>
          <w:b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solicitate de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Ofertanților</w:t>
      </w:r>
      <w:proofErr w:type="spellEnd"/>
    </w:p>
    <w:p w14:paraId="30C0847F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Ca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regulă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generală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pe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parcursul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Ofertanților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utilizând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funcționalitățile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platformei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SEAP. </w:t>
      </w:r>
    </w:p>
    <w:p w14:paraId="64A7D1DA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Răspunsul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trebuie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încărcat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format electronic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aceeași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secțiune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înainte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termenul-limită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semnat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semnătură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electronica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extinsa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bazată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un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certificat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calificat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emis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un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furnizor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acreditat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servicii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certificare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persoana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autorizata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in mod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corespunzător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semneze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numele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152A909C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excepție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numai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decide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recurgă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SEAP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derularea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proceduri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cauza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unor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motive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pot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atribuite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operatorului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SEAP,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posta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/fax/email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persoana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contact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indicata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1CFA602E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oricare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răspunsul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realizate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scris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.</w:t>
      </w: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</w:p>
    <w:p w14:paraId="4C487E55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unui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după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prezentate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cadrul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termenul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precizat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solicitate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concludente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inacceptabilă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14235082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u w:val="single"/>
          <w:lang w:eastAsia="ro-RO"/>
        </w:rPr>
        <w:t>admisibilă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-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admisibilă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inacceptabilă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neconformă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neadecvată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29D44599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bookmarkStart w:id="0" w:name="_Toc493782176"/>
      <w:bookmarkStart w:id="1" w:name="_Toc493789217"/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Situații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ce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determină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respingerea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bookmarkEnd w:id="0"/>
      <w:bookmarkEnd w:id="1"/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Ofertei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-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respinsă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inacceptabilă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neconformă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neadecvată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situațiile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descrise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jos.</w:t>
      </w:r>
      <w:proofErr w:type="spellEnd"/>
    </w:p>
    <w:p w14:paraId="4F7EC52A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bCs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inacceptabilă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următoarele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situații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:</w:t>
      </w:r>
    </w:p>
    <w:p w14:paraId="4D5EBA24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însoțesc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semnate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semnătură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electronică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extinsă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bazată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un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certificat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calificat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eliberat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un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furnizor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servicii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certificare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acreditat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4617E7C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îndeplinește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unul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mai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multe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dintre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criteriile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calificare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Documentația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atribuire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DUAE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conformitate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1E23519A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orice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moment 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timpul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perioadei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refuză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extindă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perioada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valabilitate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garanției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participare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4BFE3D0A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remediază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termenul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eventualele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neconcordanțele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referitoare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îndeplinirea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condițiilor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garanției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participare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precum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cuantumul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valabilitatea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73787608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lastRenderedPageBreak/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termenul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precizat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comisia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solicitate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clarificările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completările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transmise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concludente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6F550318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modifică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răspunsurile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care le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prezintă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comisiei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conținutul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2B64A907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îndreptarea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erorilor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aritmetice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4FB54E61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îndreptarea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viciilor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acestuia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798CBB19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constituie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alternativă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prevederile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Caietului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sarcini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alternativa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luată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deoarece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Anunțul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participare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precizată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mod explicit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posibilitatea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depunerii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unor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alternative;</w:t>
      </w:r>
    </w:p>
    <w:p w14:paraId="26F2A27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asigură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respectarea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reglementărilor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obligatorii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referitoare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condițiile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specifice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muncă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protecție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muncii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atunci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când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aceasta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formulată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condițiile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art. 51,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(2)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Legea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98/2016;</w:t>
      </w:r>
    </w:p>
    <w:p w14:paraId="454ECCB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fără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TVA,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inclus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depășește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valoarea</w:t>
      </w:r>
      <w:proofErr w:type="spellEnd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estimată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Anunțul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participare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există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posibilitatea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disponibilizării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fonduri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suplimentare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îndeplinirea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7B0FCE5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fără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TVA,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inclus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depășește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valoarea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estimată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comunicată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Anunțul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participare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există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posibilitatea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disponibilizării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fonduri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suplimentare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îndeplinirea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constată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acceptarea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unei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astfel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conduce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modificarea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substanțială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sensul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depășirii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procentelor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la art. 221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(1) lit. f) pct. ii)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Legea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98/2016.</w:t>
      </w:r>
    </w:p>
    <w:p w14:paraId="286B94E2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bCs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neconformă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următoarele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situații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:</w:t>
      </w:r>
    </w:p>
    <w:p w14:paraId="423B5B46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respectă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prezentate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achiziției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7A29569B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fost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primită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întârziere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[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aplicabil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doar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situația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excepțională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procedura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nu se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derula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online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intermediul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SEAP]</w:t>
      </w: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1EEC71C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prezintă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indicii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înțelegeri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anticoncurențiale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corupție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6FD556F9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fiind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neobișnuit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scăzută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66768870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cazul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prezintă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comisiei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informațiile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solicitate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justifică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mod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corespunzător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nivelul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scăzut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al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costurilor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6C5D25CC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satisface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mod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corespunzător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Caietului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sarcini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4C7FFFA4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conține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modificare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clauzelor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contractuale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care le-a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entitatea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care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mod evident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dezavantajoase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aceasta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urmă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Ofertantul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fost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informat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privire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respectiva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situație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acceptă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renunțarea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clauzele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respective;</w:t>
      </w:r>
    </w:p>
    <w:p w14:paraId="657F0C38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conține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cadrul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nu sunt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rezultatul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liberei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concurențe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care nu pot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justificate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5604B1C9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corelată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elementele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Tehnice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putea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conduce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executarea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defectuoasă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constituie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o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abatere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legislația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incidentă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decât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domeniul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achizițiilor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publice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0D25460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[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cadrul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unei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proceduri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atribuire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care s-a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prevăzut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defalcarea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 xml:space="preserve"> pe </w:t>
      </w:r>
      <w:proofErr w:type="spellStart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loturi</w:t>
      </w:r>
      <w:proofErr w:type="spellEnd"/>
      <w:r w:rsidRPr="00126BD2">
        <w:rPr>
          <w:rFonts w:ascii="Times New Roman" w:eastAsia="Times New Roman" w:hAnsi="Times New Roman"/>
          <w:i/>
          <w:sz w:val="20"/>
          <w:szCs w:val="20"/>
          <w:lang w:eastAsia="ro-RO"/>
        </w:rPr>
        <w:t>]</w:t>
      </w:r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prezentată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fără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realiza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distincția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loturile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motiv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devenind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imposibilă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aplicarea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criteriului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atribuire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fiecare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lot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69FB9A5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depusă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nerespectarea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prevederilor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art. 60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alin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. (1) lit. d)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e)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Legea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nr. 98/2016,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raportat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data-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limită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stabilită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pentru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depunerea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Ofertelor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oricând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pe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parcursul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evaluării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acestora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;</w:t>
      </w:r>
    </w:p>
    <w:p w14:paraId="745CA66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urma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verificărilor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prevăzute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art. 210 din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Legea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98/2016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constată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Propunerea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Financiară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are un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preț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conține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costuri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neobișnuit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scăzute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raport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cu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astfel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încât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nu se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asigura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lastRenderedPageBreak/>
        <w:t>îndeplinirea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/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la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parametrii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cantitativi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calitativi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solicitați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prin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Caietul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sarcini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2168194E" w14:textId="77777777" w:rsidR="005207AE" w:rsidRPr="00126BD2" w:rsidRDefault="005207AE" w:rsidP="005207AE">
      <w:pPr>
        <w:spacing w:after="120"/>
        <w:jc w:val="both"/>
        <w:rPr>
          <w:rFonts w:ascii="Times New Roman" w:eastAsia="Times New Roman" w:hAnsi="Times New Roman"/>
          <w:sz w:val="20"/>
          <w:szCs w:val="20"/>
          <w:lang w:eastAsia="ro-RO"/>
        </w:rPr>
      </w:pP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Oferta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poate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fi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considerată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neadecvată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dacă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este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lipsită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relevanță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fată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de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obiectul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contractului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acordului-cadru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neputând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mod evident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satisface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fără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modificări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substanțiale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,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necesitățile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și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cerințele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Autorității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/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entității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contractante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indicate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în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documentele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 xml:space="preserve"> </w:t>
      </w:r>
      <w:proofErr w:type="spellStart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achiziției</w:t>
      </w:r>
      <w:proofErr w:type="spellEnd"/>
      <w:r w:rsidRPr="00126BD2">
        <w:rPr>
          <w:rFonts w:ascii="Times New Roman" w:eastAsia="Times New Roman" w:hAnsi="Times New Roman"/>
          <w:sz w:val="20"/>
          <w:szCs w:val="20"/>
          <w:lang w:eastAsia="ro-RO"/>
        </w:rPr>
        <w:t>.</w:t>
      </w:r>
    </w:p>
    <w:p w14:paraId="319F8A32" w14:textId="77777777" w:rsidR="005207AE" w:rsidRPr="00126BD2" w:rsidRDefault="005207AE" w:rsidP="005207AE">
      <w:pPr>
        <w:numPr>
          <w:ilvl w:val="0"/>
          <w:numId w:val="13"/>
        </w:numPr>
        <w:spacing w:after="120" w:line="276" w:lineRule="auto"/>
        <w:ind w:hanging="270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eastAsia="Times New Roman" w:hAnsi="Times New Roman"/>
          <w:b/>
          <w:sz w:val="20"/>
          <w:szCs w:val="20"/>
          <w:lang w:eastAsia="ro-RO"/>
        </w:rPr>
        <w:t>Reguli</w:t>
      </w:r>
      <w:r w:rsidRPr="00126BD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evitare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conflictului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b/>
          <w:sz w:val="20"/>
          <w:szCs w:val="20"/>
        </w:rPr>
        <w:t>interese</w:t>
      </w:r>
      <w:proofErr w:type="spellEnd"/>
    </w:p>
    <w:p w14:paraId="5085773B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Conflict de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reprezintă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membrii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personalului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ai </w:t>
      </w:r>
      <w:proofErr w:type="spellStart"/>
      <w:r w:rsidRPr="00126BD2">
        <w:rPr>
          <w:rFonts w:ascii="Times New Roman" w:hAnsi="Times New Roman"/>
          <w:sz w:val="20"/>
          <w:szCs w:val="20"/>
        </w:rPr>
        <w:t>unui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acționează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care sunt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desfășurarea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pot </w:t>
      </w:r>
      <w:proofErr w:type="spellStart"/>
      <w:r w:rsidRPr="00126BD2">
        <w:rPr>
          <w:rFonts w:ascii="Times New Roman" w:hAnsi="Times New Roman"/>
          <w:sz w:val="20"/>
          <w:szCs w:val="20"/>
        </w:rPr>
        <w:t>influența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mod direct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indirect, un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financiar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alt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personal,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perceput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element care </w:t>
      </w:r>
      <w:proofErr w:type="spellStart"/>
      <w:r w:rsidRPr="00126BD2">
        <w:rPr>
          <w:rFonts w:ascii="Times New Roman" w:hAnsi="Times New Roman"/>
          <w:sz w:val="20"/>
          <w:szCs w:val="20"/>
        </w:rPr>
        <w:t>compromite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imparțialitatea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independența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lor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contextul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2B3BEED2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Persoana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fizică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juridică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întocmirea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operator economic, de a fi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asociat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elaborarea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natură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distorsioneze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concurență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545C6B5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Nu au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verificare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50E4CE1E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dețin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sociale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părți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acțiuni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capitalul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subscris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unuia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terți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susținători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fac </w:t>
      </w:r>
      <w:proofErr w:type="spellStart"/>
      <w:r w:rsidRPr="00126BD2">
        <w:rPr>
          <w:rFonts w:ascii="Times New Roman" w:hAnsi="Times New Roman"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administrație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organul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conducere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supervizare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unuia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candidați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terți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74C42FDC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soț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soție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rudă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afin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gradul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doilea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fac </w:t>
      </w:r>
      <w:proofErr w:type="spellStart"/>
      <w:r w:rsidRPr="00126BD2">
        <w:rPr>
          <w:rFonts w:ascii="Times New Roman" w:hAnsi="Times New Roman"/>
          <w:sz w:val="20"/>
          <w:szCs w:val="20"/>
        </w:rPr>
        <w:t>parte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administrație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organul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conducere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supervizare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unuia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terți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susținători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propuși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256CF86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despre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care </w:t>
      </w:r>
      <w:proofErr w:type="spellStart"/>
      <w:r w:rsidRPr="00126BD2">
        <w:rPr>
          <w:rFonts w:ascii="Times New Roman" w:hAnsi="Times New Roman"/>
          <w:sz w:val="20"/>
          <w:szCs w:val="20"/>
        </w:rPr>
        <w:t>există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indicii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rezonabile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concrete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126BD2">
        <w:rPr>
          <w:rFonts w:ascii="Times New Roman" w:hAnsi="Times New Roman"/>
          <w:sz w:val="20"/>
          <w:szCs w:val="20"/>
        </w:rPr>
        <w:t>avea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direct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indirect, un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personal, </w:t>
      </w:r>
      <w:proofErr w:type="spellStart"/>
      <w:r w:rsidRPr="00126BD2">
        <w:rPr>
          <w:rFonts w:ascii="Times New Roman" w:hAnsi="Times New Roman"/>
          <w:sz w:val="20"/>
          <w:szCs w:val="20"/>
        </w:rPr>
        <w:t>financiar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altă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altă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natură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afecteze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independența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imparțialitatea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procesului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6081FCB4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Contractantul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personalul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genera un conflict de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cum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fi:</w:t>
      </w:r>
    </w:p>
    <w:p w14:paraId="75C8603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individual/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asociat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propus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terțul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susținător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membri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administrație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organului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conducere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supervizare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acționari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asociați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semnificativi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sunt </w:t>
      </w:r>
      <w:proofErr w:type="spellStart"/>
      <w:r w:rsidRPr="00126BD2">
        <w:rPr>
          <w:rFonts w:ascii="Times New Roman" w:hAnsi="Times New Roman"/>
          <w:sz w:val="20"/>
          <w:szCs w:val="20"/>
        </w:rPr>
        <w:t>soț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soție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rudă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afin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gradul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doilea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comerciale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231F8A6D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nominalizat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principalele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executarea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sunt </w:t>
      </w:r>
      <w:proofErr w:type="spellStart"/>
      <w:r w:rsidRPr="00126BD2">
        <w:rPr>
          <w:rFonts w:ascii="Times New Roman" w:hAnsi="Times New Roman"/>
          <w:sz w:val="20"/>
          <w:szCs w:val="20"/>
        </w:rPr>
        <w:t>soț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soție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rudă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afin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gradul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doilea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inclusiv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relații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comerciale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furnizorului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C0E41DB" w14:textId="77777777" w:rsidR="005207AE" w:rsidRPr="00126BD2" w:rsidRDefault="005207AE" w:rsidP="005207AE">
      <w:pPr>
        <w:numPr>
          <w:ilvl w:val="0"/>
          <w:numId w:val="13"/>
        </w:numPr>
        <w:spacing w:after="120" w:line="276" w:lineRule="auto"/>
        <w:ind w:left="1080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>STABILIREA OFERTEI CÂŞTIGĂTOARE</w:t>
      </w:r>
    </w:p>
    <w:p w14:paraId="1A012243" w14:textId="77777777" w:rsidR="005207AE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îndeplinește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către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comisia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88C248E" w14:textId="77777777" w:rsidR="00243C98" w:rsidRPr="00126BD2" w:rsidRDefault="00243C98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7363289C" w14:textId="77777777" w:rsidR="005207AE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Atribuirea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face pe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„</w:t>
      </w:r>
      <w:proofErr w:type="spellStart"/>
      <w:r w:rsidR="00561F5B">
        <w:rPr>
          <w:rFonts w:ascii="Times New Roman" w:hAnsi="Times New Roman"/>
          <w:sz w:val="20"/>
          <w:szCs w:val="20"/>
        </w:rPr>
        <w:t>pretul</w:t>
      </w:r>
      <w:proofErr w:type="spellEnd"/>
      <w:r w:rsidR="00561F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61F5B">
        <w:rPr>
          <w:rFonts w:ascii="Times New Roman" w:hAnsi="Times New Roman"/>
          <w:sz w:val="20"/>
          <w:szCs w:val="20"/>
        </w:rPr>
        <w:t>cel</w:t>
      </w:r>
      <w:proofErr w:type="spellEnd"/>
      <w:r w:rsidR="00561F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43C98">
        <w:rPr>
          <w:rFonts w:ascii="Times New Roman" w:hAnsi="Times New Roman"/>
          <w:sz w:val="20"/>
          <w:szCs w:val="20"/>
        </w:rPr>
        <w:t>m</w:t>
      </w:r>
      <w:r w:rsidR="00561F5B">
        <w:rPr>
          <w:rFonts w:ascii="Times New Roman" w:hAnsi="Times New Roman"/>
          <w:sz w:val="20"/>
          <w:szCs w:val="20"/>
        </w:rPr>
        <w:t>ai</w:t>
      </w:r>
      <w:proofErr w:type="spellEnd"/>
      <w:r w:rsidR="00561F5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61F5B">
        <w:rPr>
          <w:rFonts w:ascii="Times New Roman" w:hAnsi="Times New Roman"/>
          <w:sz w:val="20"/>
          <w:szCs w:val="20"/>
        </w:rPr>
        <w:t>scazut</w:t>
      </w:r>
      <w:proofErr w:type="spellEnd"/>
      <w:r w:rsidR="00EC3D1D">
        <w:rPr>
          <w:rFonts w:ascii="Times New Roman" w:hAnsi="Times New Roman"/>
          <w:sz w:val="20"/>
          <w:szCs w:val="20"/>
        </w:rPr>
        <w:t>”.</w:t>
      </w:r>
    </w:p>
    <w:p w14:paraId="3E19DE62" w14:textId="77777777" w:rsidR="00EC3D1D" w:rsidRPr="00126BD2" w:rsidRDefault="00EC3D1D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01753D3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09BABBEE" w14:textId="77777777" w:rsidR="005207AE" w:rsidRPr="00126BD2" w:rsidRDefault="005207AE" w:rsidP="005207AE">
      <w:pPr>
        <w:spacing w:after="120" w:line="276" w:lineRule="auto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 xml:space="preserve">                6.INSTRUCȚIUNI PRIVIND </w:t>
      </w:r>
      <w:proofErr w:type="gramStart"/>
      <w:r w:rsidRPr="00126BD2">
        <w:rPr>
          <w:rFonts w:ascii="Times New Roman" w:hAnsi="Times New Roman"/>
          <w:b/>
          <w:sz w:val="20"/>
          <w:szCs w:val="20"/>
        </w:rPr>
        <w:t>NOTIFICAREA  REZULTATULUI</w:t>
      </w:r>
      <w:proofErr w:type="gramEnd"/>
      <w:r w:rsidRPr="00126BD2">
        <w:rPr>
          <w:rFonts w:ascii="Times New Roman" w:hAnsi="Times New Roman"/>
          <w:b/>
          <w:sz w:val="20"/>
          <w:szCs w:val="20"/>
        </w:rPr>
        <w:t xml:space="preserve">  PROCEDURII </w:t>
      </w:r>
    </w:p>
    <w:p w14:paraId="5BC8557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 </w:t>
      </w:r>
      <w:proofErr w:type="spellStart"/>
      <w:r w:rsidRPr="00126BD2">
        <w:rPr>
          <w:rFonts w:ascii="Times New Roman" w:hAnsi="Times New Roman"/>
          <w:sz w:val="20"/>
          <w:szCs w:val="20"/>
        </w:rPr>
        <w:t>implicați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despre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referitoare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la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la </w:t>
      </w:r>
      <w:proofErr w:type="spellStart"/>
      <w:r w:rsidRPr="00126BD2">
        <w:rPr>
          <w:rFonts w:ascii="Times New Roman" w:hAnsi="Times New Roman"/>
          <w:sz w:val="20"/>
          <w:szCs w:val="20"/>
        </w:rPr>
        <w:t>anularea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eventuala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inițiere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ulterioară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noi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scris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curând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posibil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târziu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emiterea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acestora.Totodata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finalziarea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fiecarei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etape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A.C.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bifa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SEAP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insotit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scurt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SEAP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notifica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mod automat un </w:t>
      </w:r>
      <w:proofErr w:type="spellStart"/>
      <w:r w:rsidRPr="00126BD2">
        <w:rPr>
          <w:rFonts w:ascii="Times New Roman" w:hAnsi="Times New Roman"/>
          <w:sz w:val="20"/>
          <w:szCs w:val="20"/>
        </w:rPr>
        <w:t>mesaj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tip </w:t>
      </w:r>
      <w:proofErr w:type="spellStart"/>
      <w:r w:rsidRPr="00126BD2">
        <w:rPr>
          <w:rFonts w:ascii="Times New Roman" w:hAnsi="Times New Roman"/>
          <w:sz w:val="20"/>
          <w:szCs w:val="20"/>
        </w:rPr>
        <w:t>alerta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astfel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cunostinta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evaluarii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2F84219E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privire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acceptarea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B0A88F4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asupra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au stat la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respective,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5E3501AF" w14:textId="77777777" w:rsidR="005207AE" w:rsidRPr="00126BD2" w:rsidRDefault="005207AE" w:rsidP="005207AE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fiecărui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concrete care au stat la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respingere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candidaturii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sale;</w:t>
      </w:r>
    </w:p>
    <w:p w14:paraId="328E78F5" w14:textId="77777777" w:rsidR="005207AE" w:rsidRPr="00126BD2" w:rsidRDefault="005207AE" w:rsidP="005207AE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fiecare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motivele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concrete care au stat la </w:t>
      </w:r>
      <w:proofErr w:type="spellStart"/>
      <w:r w:rsidRPr="00126BD2">
        <w:rPr>
          <w:rFonts w:ascii="Times New Roman" w:hAnsi="Times New Roman"/>
          <w:sz w:val="20"/>
          <w:szCs w:val="20"/>
        </w:rPr>
        <w:t>baza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respingere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detaliindu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-se </w:t>
      </w:r>
      <w:proofErr w:type="spellStart"/>
      <w:r w:rsidRPr="00126BD2">
        <w:rPr>
          <w:rFonts w:ascii="Times New Roman" w:hAnsi="Times New Roman"/>
          <w:sz w:val="20"/>
          <w:szCs w:val="20"/>
        </w:rPr>
        <w:t>argumentele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temeiul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cărora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considerată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inacceptabilă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neadecvată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şi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neconformă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îndeosebi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elementele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au </w:t>
      </w:r>
      <w:proofErr w:type="spellStart"/>
      <w:r w:rsidRPr="00126BD2">
        <w:rPr>
          <w:rFonts w:ascii="Times New Roman" w:hAnsi="Times New Roman"/>
          <w:sz w:val="20"/>
          <w:szCs w:val="20"/>
        </w:rPr>
        <w:t>corespuns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cerințelor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funcționare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performanță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prevăzute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caietul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sarcini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1EC31570" w14:textId="77777777" w:rsidR="005207AE" w:rsidRPr="00126BD2" w:rsidRDefault="005207AE" w:rsidP="005207AE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fiecărui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acceptabilă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admisibilă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declarată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caracteristicile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avantajele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relative ale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raport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numele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după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ale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care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sz w:val="20"/>
          <w:szCs w:val="20"/>
        </w:rPr>
        <w:t>acord-cadru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3D1A39A3" w14:textId="77777777" w:rsidR="005207AE" w:rsidRPr="00126BD2" w:rsidRDefault="005207AE" w:rsidP="005207AE">
      <w:pPr>
        <w:numPr>
          <w:ilvl w:val="0"/>
          <w:numId w:val="15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fiecărui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operator economic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prevăzuți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pct. 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>) - iii), data-</w:t>
      </w:r>
      <w:proofErr w:type="spellStart"/>
      <w:r w:rsidRPr="00126BD2">
        <w:rPr>
          <w:rFonts w:ascii="Times New Roman" w:hAnsi="Times New Roman"/>
          <w:sz w:val="20"/>
          <w:szCs w:val="20"/>
        </w:rPr>
        <w:t>limită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până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care au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221F4C9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nu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anumite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divulgarea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acestora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5BB8A34D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conduce la </w:t>
      </w:r>
      <w:proofErr w:type="spellStart"/>
      <w:r w:rsidRPr="00126BD2">
        <w:rPr>
          <w:rFonts w:ascii="Times New Roman" w:hAnsi="Times New Roman"/>
          <w:sz w:val="20"/>
          <w:szCs w:val="20"/>
        </w:rPr>
        <w:t>neaplicarea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constitui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sz w:val="20"/>
          <w:szCs w:val="20"/>
        </w:rPr>
        <w:t>obstacol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public;</w:t>
      </w:r>
    </w:p>
    <w:p w14:paraId="555DAA79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prejudicia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interesele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comerciale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legitime ale </w:t>
      </w:r>
      <w:proofErr w:type="spellStart"/>
      <w:r w:rsidRPr="00126BD2">
        <w:rPr>
          <w:rFonts w:ascii="Times New Roman" w:hAnsi="Times New Roman"/>
          <w:sz w:val="20"/>
          <w:szCs w:val="20"/>
        </w:rPr>
        <w:t>operatorilor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economici,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prejudicia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concurență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loială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dintre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aceștia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561B436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104B1D57" w14:textId="77777777" w:rsidR="005207AE" w:rsidRPr="00126BD2" w:rsidRDefault="005207AE" w:rsidP="005207AE">
      <w:pPr>
        <w:spacing w:after="120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2CB13C0B" w14:textId="77777777" w:rsidR="005207AE" w:rsidRPr="00126BD2" w:rsidRDefault="005207AE" w:rsidP="005207AE">
      <w:pPr>
        <w:spacing w:after="120" w:line="276" w:lineRule="auto"/>
        <w:ind w:left="720"/>
        <w:rPr>
          <w:rFonts w:ascii="Times New Roman" w:hAnsi="Times New Roman"/>
          <w:b/>
          <w:caps/>
          <w:sz w:val="20"/>
          <w:szCs w:val="20"/>
        </w:rPr>
      </w:pPr>
      <w:r w:rsidRPr="00126BD2">
        <w:rPr>
          <w:rFonts w:ascii="Times New Roman" w:hAnsi="Times New Roman"/>
          <w:b/>
          <w:caps/>
          <w:sz w:val="20"/>
          <w:szCs w:val="20"/>
        </w:rPr>
        <w:t xml:space="preserve">7.INSTRUCȚIUNI PRIVIND ANULAREA PROCEDURII DE ATRIBUIRE </w:t>
      </w:r>
    </w:p>
    <w:p w14:paraId="265936A2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obligația</w:t>
      </w:r>
      <w:proofErr w:type="spellEnd"/>
      <w:r w:rsidRPr="00126BD2">
        <w:rPr>
          <w:rFonts w:ascii="Times New Roman" w:hAnsi="Times New Roman"/>
          <w:b/>
          <w:sz w:val="20"/>
          <w:szCs w:val="20"/>
        </w:rPr>
        <w:t xml:space="preserve"> </w:t>
      </w:r>
      <w:r w:rsidRPr="00126BD2">
        <w:rPr>
          <w:rFonts w:ascii="Times New Roman" w:hAnsi="Times New Roman"/>
          <w:sz w:val="20"/>
          <w:szCs w:val="20"/>
        </w:rPr>
        <w:t xml:space="preserve">de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sz w:val="20"/>
          <w:szCs w:val="20"/>
        </w:rPr>
        <w:t>regulă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data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oricum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data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cazuri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4791A703" w14:textId="77777777" w:rsidR="005207AE" w:rsidRDefault="005207AE" w:rsidP="005207AE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inacceptabile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inadmisibile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neconforme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39C106D7" w14:textId="77777777" w:rsidR="008105A8" w:rsidRPr="00126BD2" w:rsidRDefault="008105A8" w:rsidP="008105A8">
      <w:pPr>
        <w:spacing w:after="120" w:line="276" w:lineRule="auto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303D66" w14:textId="77777777" w:rsidR="005207AE" w:rsidRPr="00126BD2" w:rsidRDefault="005207AE" w:rsidP="005207AE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lastRenderedPageBreak/>
        <w:t xml:space="preserve">nu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nicio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care, </w:t>
      </w:r>
      <w:proofErr w:type="spellStart"/>
      <w:r w:rsidRPr="00126BD2">
        <w:rPr>
          <w:rFonts w:ascii="Times New Roman" w:hAnsi="Times New Roman"/>
          <w:sz w:val="20"/>
          <w:szCs w:val="20"/>
        </w:rPr>
        <w:t>deși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luate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considerare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nu pot fi </w:t>
      </w:r>
      <w:proofErr w:type="spellStart"/>
      <w:r w:rsidRPr="00126BD2">
        <w:rPr>
          <w:rFonts w:ascii="Times New Roman" w:hAnsi="Times New Roman"/>
          <w:sz w:val="20"/>
          <w:szCs w:val="20"/>
        </w:rPr>
        <w:t>comparate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datorită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neuniform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abordare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soluțiilor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financiare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7EB03CFB" w14:textId="77777777" w:rsidR="005207AE" w:rsidRPr="00126BD2" w:rsidRDefault="005207AE" w:rsidP="005207AE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abateri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grave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legislative </w:t>
      </w:r>
      <w:proofErr w:type="spellStart"/>
      <w:r w:rsidRPr="00126BD2">
        <w:rPr>
          <w:rFonts w:ascii="Times New Roman" w:hAnsi="Times New Roman"/>
          <w:sz w:val="20"/>
          <w:szCs w:val="20"/>
        </w:rPr>
        <w:t>afectează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imposibilă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A205B9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sensul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sus,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abateri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grave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legislative se </w:t>
      </w:r>
      <w:proofErr w:type="spellStart"/>
      <w:r w:rsidRPr="00126BD2">
        <w:rPr>
          <w:rFonts w:ascii="Times New Roman" w:hAnsi="Times New Roman"/>
          <w:sz w:val="20"/>
          <w:szCs w:val="20"/>
        </w:rPr>
        <w:t>înțelege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5666E482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criteriile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calificare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selecție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criteriul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factorii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evaluare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prevăzuți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modificați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44592698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pe </w:t>
      </w:r>
      <w:proofErr w:type="spellStart"/>
      <w:r w:rsidRPr="00126BD2">
        <w:rPr>
          <w:rFonts w:ascii="Times New Roman" w:hAnsi="Times New Roman"/>
          <w:sz w:val="20"/>
          <w:szCs w:val="20"/>
        </w:rPr>
        <w:t>parcursul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analizei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evaluării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finalizării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constată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erori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omisiuni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imposibilitatea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adopta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măsuri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corective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fără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acestea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conducă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la </w:t>
      </w:r>
      <w:proofErr w:type="spellStart"/>
      <w:r w:rsidRPr="00126BD2">
        <w:rPr>
          <w:rFonts w:ascii="Times New Roman" w:hAnsi="Times New Roman"/>
          <w:sz w:val="20"/>
          <w:szCs w:val="20"/>
        </w:rPr>
        <w:t>încălcarea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principiilor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2B2A671E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excepție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gramStart"/>
      <w:r w:rsidRPr="00126BD2">
        <w:rPr>
          <w:rFonts w:ascii="Times New Roman" w:hAnsi="Times New Roman"/>
          <w:sz w:val="20"/>
          <w:szCs w:val="20"/>
        </w:rPr>
        <w:t>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anula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de </w:t>
      </w:r>
      <w:proofErr w:type="spellStart"/>
      <w:r w:rsidRPr="00126BD2">
        <w:rPr>
          <w:rFonts w:ascii="Times New Roman" w:hAnsi="Times New Roman"/>
          <w:sz w:val="20"/>
          <w:szCs w:val="20"/>
        </w:rPr>
        <w:t>regulă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data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transmiterii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rezultatul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aplicării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oricum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înainte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data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numai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cazuri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14C2B1D5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ca </w:t>
      </w:r>
      <w:proofErr w:type="spellStart"/>
      <w:r w:rsidRPr="00126BD2">
        <w:rPr>
          <w:rFonts w:ascii="Times New Roman" w:hAnsi="Times New Roman"/>
          <w:sz w:val="20"/>
          <w:szCs w:val="20"/>
        </w:rPr>
        <w:t>urmare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pronunțate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Soluționare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dispune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eliminarea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oricăror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specificații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tehnice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economice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financiare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anunțul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din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126BD2">
        <w:rPr>
          <w:rFonts w:ascii="Times New Roman" w:hAnsi="Times New Roman"/>
          <w:sz w:val="20"/>
          <w:szCs w:val="20"/>
        </w:rPr>
        <w:t>alte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emise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legătură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0C2CFA3F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asigurate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fondurile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necesare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realizării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există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necesitatea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fi </w:t>
      </w:r>
      <w:proofErr w:type="spellStart"/>
      <w:r w:rsidRPr="00126BD2">
        <w:rPr>
          <w:rFonts w:ascii="Times New Roman" w:hAnsi="Times New Roman"/>
          <w:sz w:val="20"/>
          <w:szCs w:val="20"/>
        </w:rPr>
        <w:t>acoperită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două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nedatorându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-se </w:t>
      </w:r>
      <w:proofErr w:type="spellStart"/>
      <w:r w:rsidRPr="00126BD2">
        <w:rPr>
          <w:rFonts w:ascii="Times New Roman" w:hAnsi="Times New Roman"/>
          <w:sz w:val="20"/>
          <w:szCs w:val="20"/>
        </w:rPr>
        <w:t>unei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acțiuni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inacțiuni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488E967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scris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tuturor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participanților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cel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mult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3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data </w:t>
      </w:r>
      <w:proofErr w:type="spellStart"/>
      <w:r w:rsidRPr="00126BD2">
        <w:rPr>
          <w:rFonts w:ascii="Times New Roman" w:hAnsi="Times New Roman"/>
          <w:sz w:val="20"/>
          <w:szCs w:val="20"/>
        </w:rPr>
        <w:t>anulării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atât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încetarea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aceștia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le-au </w:t>
      </w:r>
      <w:proofErr w:type="spellStart"/>
      <w:r w:rsidRPr="00126BD2">
        <w:rPr>
          <w:rFonts w:ascii="Times New Roman" w:hAnsi="Times New Roman"/>
          <w:sz w:val="20"/>
          <w:szCs w:val="20"/>
        </w:rPr>
        <w:t>creat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cât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motivul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concret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 </w:t>
      </w:r>
      <w:proofErr w:type="spellStart"/>
      <w:r w:rsidRPr="00126BD2">
        <w:rPr>
          <w:rFonts w:ascii="Times New Roman" w:hAnsi="Times New Roman"/>
          <w:sz w:val="20"/>
          <w:szCs w:val="20"/>
        </w:rPr>
        <w:t>determinat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decizia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anulare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36ED5D6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4E0E15CF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b/>
          <w:caps/>
          <w:sz w:val="20"/>
          <w:szCs w:val="20"/>
        </w:rPr>
      </w:pPr>
    </w:p>
    <w:p w14:paraId="0D678057" w14:textId="77777777" w:rsidR="005207AE" w:rsidRPr="00126BD2" w:rsidRDefault="005207AE" w:rsidP="005207AE">
      <w:pPr>
        <w:spacing w:after="120" w:line="276" w:lineRule="auto"/>
        <w:ind w:left="720"/>
        <w:rPr>
          <w:rFonts w:ascii="Times New Roman" w:hAnsi="Times New Roman"/>
          <w:b/>
          <w:sz w:val="20"/>
          <w:szCs w:val="20"/>
        </w:rPr>
      </w:pPr>
      <w:proofErr w:type="gramStart"/>
      <w:r w:rsidRPr="00126BD2">
        <w:rPr>
          <w:rFonts w:ascii="Times New Roman" w:hAnsi="Times New Roman"/>
          <w:b/>
          <w:sz w:val="20"/>
          <w:szCs w:val="20"/>
        </w:rPr>
        <w:t>8..INSTRUCTIUNI</w:t>
      </w:r>
      <w:proofErr w:type="gramEnd"/>
      <w:r w:rsidRPr="00126BD2">
        <w:rPr>
          <w:rFonts w:ascii="Times New Roman" w:hAnsi="Times New Roman"/>
          <w:b/>
          <w:sz w:val="20"/>
          <w:szCs w:val="20"/>
        </w:rPr>
        <w:t xml:space="preserve">  PRIVIND SEMNAREA CONTRACTULUI DE ACHIZIŢIE</w:t>
      </w:r>
    </w:p>
    <w:p w14:paraId="56B350C9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acordul-cadru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sz w:val="20"/>
          <w:szCs w:val="20"/>
        </w:rPr>
        <w:t>(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</w:t>
      </w:r>
      <w:proofErr w:type="spellEnd"/>
      <w:r w:rsidRPr="00126BD2">
        <w:rPr>
          <w:rFonts w:ascii="Times New Roman" w:hAnsi="Times New Roman"/>
          <w:sz w:val="20"/>
          <w:szCs w:val="20"/>
        </w:rPr>
        <w:t>(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perioada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valabilitate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dar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devreme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126BD2">
        <w:rPr>
          <w:rFonts w:ascii="Times New Roman" w:hAnsi="Times New Roman"/>
          <w:sz w:val="20"/>
          <w:szCs w:val="20"/>
        </w:rPr>
        <w:t xml:space="preserve">de 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legal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formularea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eventualelor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administrative.</w:t>
      </w:r>
    </w:p>
    <w:p w14:paraId="382F1E4A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se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comunicare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</w:t>
      </w:r>
      <w:proofErr w:type="spellStart"/>
      <w:r w:rsidRPr="00126BD2">
        <w:rPr>
          <w:rFonts w:ascii="Times New Roman" w:hAnsi="Times New Roman"/>
          <w:sz w:val="20"/>
          <w:szCs w:val="20"/>
        </w:rPr>
        <w:t>primirea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invitației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2A9CC9C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Dacă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26BD2">
        <w:rPr>
          <w:rFonts w:ascii="Times New Roman" w:hAnsi="Times New Roman"/>
          <w:sz w:val="20"/>
          <w:szCs w:val="20"/>
        </w:rPr>
        <w:t>termenul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a  </w:t>
      </w:r>
      <w:proofErr w:type="spellStart"/>
      <w:r w:rsidRPr="00126BD2">
        <w:rPr>
          <w:rFonts w:ascii="Times New Roman" w:hAnsi="Times New Roman"/>
          <w:sz w:val="20"/>
          <w:szCs w:val="20"/>
        </w:rPr>
        <w:t>expirat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s-a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asimilată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refuzului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semna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iar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reține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favoarea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71B3A56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s-a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126BD2">
        <w:rPr>
          <w:rFonts w:ascii="Times New Roman" w:hAnsi="Times New Roman"/>
          <w:sz w:val="20"/>
          <w:szCs w:val="20"/>
        </w:rPr>
        <w:t>consorțiu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acesta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semnarea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următoarele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7A99E1E3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caps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documente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se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autorizează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urmează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semneze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7C7BC0D7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caps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acordul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asociere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din care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rezulte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fiecărui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membru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asocierii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reprezentantul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legal al </w:t>
      </w:r>
      <w:proofErr w:type="spellStart"/>
      <w:r w:rsidRPr="00126BD2">
        <w:rPr>
          <w:rFonts w:ascii="Times New Roman" w:hAnsi="Times New Roman"/>
          <w:sz w:val="20"/>
          <w:szCs w:val="20"/>
        </w:rPr>
        <w:t>asocierii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liderul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desemnat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126BD2">
        <w:rPr>
          <w:rFonts w:ascii="Times New Roman" w:hAnsi="Times New Roman"/>
          <w:sz w:val="20"/>
          <w:szCs w:val="20"/>
        </w:rPr>
        <w:t>informații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nu </w:t>
      </w:r>
      <w:proofErr w:type="spellStart"/>
      <w:r w:rsidRPr="00126BD2">
        <w:rPr>
          <w:rFonts w:ascii="Times New Roman" w:hAnsi="Times New Roman"/>
          <w:sz w:val="20"/>
          <w:szCs w:val="20"/>
        </w:rPr>
        <w:t>trebuie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fie </w:t>
      </w:r>
      <w:proofErr w:type="spellStart"/>
      <w:r w:rsidRPr="00126BD2">
        <w:rPr>
          <w:rFonts w:ascii="Times New Roman" w:hAnsi="Times New Roman"/>
          <w:sz w:val="20"/>
          <w:szCs w:val="20"/>
        </w:rPr>
        <w:t>diferite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documentele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au </w:t>
      </w:r>
      <w:proofErr w:type="spellStart"/>
      <w:r w:rsidRPr="00126BD2">
        <w:rPr>
          <w:rFonts w:ascii="Times New Roman" w:hAnsi="Times New Roman"/>
          <w:sz w:val="20"/>
          <w:szCs w:val="20"/>
        </w:rPr>
        <w:t>însoțit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>);</w:t>
      </w:r>
    </w:p>
    <w:p w14:paraId="32A1F037" w14:textId="77777777" w:rsidR="005207AE" w:rsidRPr="00126BD2" w:rsidRDefault="005207AE" w:rsidP="005207AE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Times New Roman" w:hAnsi="Times New Roman"/>
          <w:caps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garanția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participare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precizările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la secțiunea.III.1.</w:t>
      </w:r>
      <w:proofErr w:type="gramStart"/>
      <w:r w:rsidRPr="00126BD2">
        <w:rPr>
          <w:rFonts w:ascii="Times New Roman" w:hAnsi="Times New Roman"/>
          <w:sz w:val="20"/>
          <w:szCs w:val="20"/>
        </w:rPr>
        <w:t>6.a</w:t>
      </w:r>
      <w:proofErr w:type="gramEnd"/>
      <w:r w:rsidRPr="00126BD2">
        <w:rPr>
          <w:rFonts w:ascii="Times New Roman" w:hAnsi="Times New Roman"/>
          <w:sz w:val="20"/>
          <w:szCs w:val="20"/>
        </w:rPr>
        <w:t xml:space="preserve">) din </w:t>
      </w:r>
      <w:proofErr w:type="spellStart"/>
      <w:r w:rsidRPr="00126BD2">
        <w:rPr>
          <w:rFonts w:ascii="Times New Roman" w:hAnsi="Times New Roman"/>
          <w:sz w:val="20"/>
          <w:szCs w:val="20"/>
        </w:rPr>
        <w:t>Instrucțiunile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ofertanți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09894E6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lastRenderedPageBreak/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s-a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nominalizat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cadrul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acesta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126BD2">
        <w:rPr>
          <w:rFonts w:ascii="Times New Roman" w:hAnsi="Times New Roman"/>
          <w:sz w:val="20"/>
          <w:szCs w:val="20"/>
        </w:rPr>
        <w:t>obligația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prezenta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semnarea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contractele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subcontractanții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nominalizați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3920994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In </w:t>
      </w:r>
      <w:proofErr w:type="spellStart"/>
      <w:r w:rsidRPr="00126BD2">
        <w:rPr>
          <w:rFonts w:ascii="Times New Roman" w:hAnsi="Times New Roman"/>
          <w:sz w:val="20"/>
          <w:szCs w:val="20"/>
        </w:rPr>
        <w:t>cazul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Autoritatea</w:t>
      </w:r>
      <w:proofErr w:type="spellEnd"/>
      <w:r w:rsidRPr="00126BD2">
        <w:rPr>
          <w:rFonts w:ascii="Times New Roman" w:hAnsi="Times New Roman"/>
          <w:sz w:val="20"/>
          <w:szCs w:val="20"/>
        </w:rPr>
        <w:t>/</w:t>
      </w:r>
      <w:proofErr w:type="spellStart"/>
      <w:r w:rsidRPr="00126BD2">
        <w:rPr>
          <w:rFonts w:ascii="Times New Roman" w:hAnsi="Times New Roman"/>
          <w:sz w:val="20"/>
          <w:szCs w:val="20"/>
        </w:rPr>
        <w:t>entitatea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încheia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cărui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stabilită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126BD2">
        <w:rPr>
          <w:rFonts w:ascii="Times New Roman" w:hAnsi="Times New Roman"/>
          <w:sz w:val="20"/>
          <w:szCs w:val="20"/>
        </w:rPr>
        <w:t>fiind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din </w:t>
      </w:r>
      <w:proofErr w:type="spellStart"/>
      <w:r w:rsidRPr="00126BD2">
        <w:rPr>
          <w:rFonts w:ascii="Times New Roman" w:hAnsi="Times New Roman"/>
          <w:sz w:val="20"/>
          <w:szCs w:val="20"/>
        </w:rPr>
        <w:t>cauza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faptului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ofertantul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află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126BD2">
        <w:rPr>
          <w:rFonts w:ascii="Times New Roman" w:hAnsi="Times New Roman"/>
          <w:sz w:val="20"/>
          <w:szCs w:val="20"/>
        </w:rPr>
        <w:t>situație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forță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majoră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imposibilitatea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fortuită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126BD2">
        <w:rPr>
          <w:rFonts w:ascii="Times New Roman" w:hAnsi="Times New Roman"/>
          <w:sz w:val="20"/>
          <w:szCs w:val="20"/>
        </w:rPr>
        <w:t>executa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atunci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are </w:t>
      </w:r>
      <w:proofErr w:type="spellStart"/>
      <w:proofErr w:type="gramStart"/>
      <w:r w:rsidRPr="00126BD2">
        <w:rPr>
          <w:rFonts w:ascii="Times New Roman" w:hAnsi="Times New Roman"/>
          <w:sz w:val="20"/>
          <w:szCs w:val="20"/>
        </w:rPr>
        <w:t>dreptul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126BD2">
        <w:rPr>
          <w:rFonts w:ascii="Times New Roman" w:hAnsi="Times New Roman"/>
          <w:sz w:val="20"/>
          <w:szCs w:val="20"/>
        </w:rPr>
        <w:t>să</w:t>
      </w:r>
      <w:proofErr w:type="spellEnd"/>
      <w:proofErr w:type="gramEnd"/>
      <w:r w:rsidRPr="00126BD2">
        <w:rPr>
          <w:rFonts w:ascii="Times New Roman" w:hAnsi="Times New Roman"/>
          <w:sz w:val="20"/>
          <w:szCs w:val="20"/>
        </w:rPr>
        <w:t xml:space="preserve"> declare </w:t>
      </w:r>
      <w:proofErr w:type="spellStart"/>
      <w:r w:rsidRPr="00126BD2">
        <w:rPr>
          <w:rFonts w:ascii="Times New Roman" w:hAnsi="Times New Roman"/>
          <w:sz w:val="20"/>
          <w:szCs w:val="20"/>
        </w:rPr>
        <w:t>câștigătoare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oferta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clasată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126BD2">
        <w:rPr>
          <w:rFonts w:ascii="Times New Roman" w:hAnsi="Times New Roman"/>
          <w:sz w:val="20"/>
          <w:szCs w:val="20"/>
        </w:rPr>
        <w:t>locul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doi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condițiile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aceasta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există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este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admisibilă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caz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126BD2">
        <w:rPr>
          <w:rFonts w:ascii="Times New Roman" w:hAnsi="Times New Roman"/>
          <w:sz w:val="20"/>
          <w:szCs w:val="20"/>
        </w:rPr>
        <w:t>anulează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4866123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</w:p>
    <w:p w14:paraId="7249449E" w14:textId="77777777" w:rsidR="005207AE" w:rsidRPr="00126BD2" w:rsidRDefault="005207AE" w:rsidP="005207AE">
      <w:pPr>
        <w:spacing w:after="120" w:line="276" w:lineRule="auto"/>
        <w:ind w:left="720"/>
        <w:rPr>
          <w:rFonts w:ascii="Times New Roman" w:hAnsi="Times New Roman"/>
          <w:b/>
          <w:sz w:val="20"/>
          <w:szCs w:val="20"/>
        </w:rPr>
      </w:pPr>
      <w:r w:rsidRPr="00126BD2">
        <w:rPr>
          <w:rFonts w:ascii="Times New Roman" w:hAnsi="Times New Roman"/>
          <w:b/>
          <w:sz w:val="20"/>
          <w:szCs w:val="20"/>
        </w:rPr>
        <w:t>9.INSTRUCȚIUNI PRIVIND PROCEDURA DE REMEDII</w:t>
      </w:r>
    </w:p>
    <w:p w14:paraId="7FDA577B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conformitate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Legea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nr. 101/2016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remediile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atac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materie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atribuire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sectoriale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contractelor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concesiune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lucrări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concesiune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servicii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precum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pentru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organizarea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funcționarea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Consiliului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National de </w:t>
      </w:r>
      <w:proofErr w:type="spellStart"/>
      <w:r w:rsidRPr="00126BD2">
        <w:rPr>
          <w:rFonts w:ascii="Times New Roman" w:hAnsi="Times New Roman"/>
          <w:sz w:val="20"/>
          <w:szCs w:val="20"/>
        </w:rPr>
        <w:t>Soluționare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Monitorul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Oficial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126BD2">
        <w:rPr>
          <w:rFonts w:ascii="Times New Roman" w:hAnsi="Times New Roman"/>
          <w:sz w:val="20"/>
          <w:szCs w:val="20"/>
        </w:rPr>
        <w:t>României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nr. 393 din 23 </w:t>
      </w:r>
      <w:proofErr w:type="spellStart"/>
      <w:r w:rsidRPr="00126BD2">
        <w:rPr>
          <w:rFonts w:ascii="Times New Roman" w:hAnsi="Times New Roman"/>
          <w:sz w:val="20"/>
          <w:szCs w:val="20"/>
        </w:rPr>
        <w:t>mai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2016, cu </w:t>
      </w:r>
      <w:proofErr w:type="spellStart"/>
      <w:r w:rsidRPr="00126BD2">
        <w:rPr>
          <w:rFonts w:ascii="Times New Roman" w:hAnsi="Times New Roman"/>
          <w:sz w:val="20"/>
          <w:szCs w:val="20"/>
        </w:rPr>
        <w:t>modificările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completările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ulterioare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765B1413" w14:textId="77777777" w:rsidR="005207AE" w:rsidRPr="00126BD2" w:rsidRDefault="005207AE" w:rsidP="005207AE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Conform </w:t>
      </w:r>
      <w:proofErr w:type="spellStart"/>
      <w:r w:rsidRPr="00126BD2">
        <w:rPr>
          <w:rFonts w:ascii="Times New Roman" w:hAnsi="Times New Roman"/>
          <w:sz w:val="20"/>
          <w:szCs w:val="20"/>
        </w:rPr>
        <w:t>prevederilor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101/2016, </w:t>
      </w:r>
      <w:proofErr w:type="spellStart"/>
      <w:r w:rsidRPr="00126BD2">
        <w:rPr>
          <w:rFonts w:ascii="Times New Roman" w:hAnsi="Times New Roman"/>
          <w:sz w:val="20"/>
          <w:szCs w:val="20"/>
        </w:rPr>
        <w:t>orice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persoană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126BD2">
        <w:rPr>
          <w:rFonts w:ascii="Times New Roman" w:hAnsi="Times New Roman"/>
          <w:sz w:val="20"/>
          <w:szCs w:val="20"/>
        </w:rPr>
        <w:t>consideră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fost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vătămată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126BD2">
        <w:rPr>
          <w:rFonts w:ascii="Times New Roman" w:hAnsi="Times New Roman"/>
          <w:sz w:val="20"/>
          <w:szCs w:val="20"/>
        </w:rPr>
        <w:t>eroare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sau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126BD2">
        <w:rPr>
          <w:rFonts w:ascii="Times New Roman" w:hAnsi="Times New Roman"/>
          <w:sz w:val="20"/>
          <w:szCs w:val="20"/>
        </w:rPr>
        <w:t>neregulă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printr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-un act al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care </w:t>
      </w:r>
      <w:proofErr w:type="spellStart"/>
      <w:r w:rsidRPr="00126BD2">
        <w:rPr>
          <w:rFonts w:ascii="Times New Roman" w:hAnsi="Times New Roman"/>
          <w:sz w:val="20"/>
          <w:szCs w:val="20"/>
        </w:rPr>
        <w:t>încalcă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legile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privind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achizițiile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publice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poate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depune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126BD2">
        <w:rPr>
          <w:rFonts w:ascii="Times New Roman" w:hAnsi="Times New Roman"/>
          <w:sz w:val="20"/>
          <w:szCs w:val="20"/>
        </w:rPr>
        <w:t>plângere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termen de 10 </w:t>
      </w:r>
      <w:proofErr w:type="spellStart"/>
      <w:r w:rsidRPr="00126BD2">
        <w:rPr>
          <w:rFonts w:ascii="Times New Roman" w:hAnsi="Times New Roman"/>
          <w:sz w:val="20"/>
          <w:szCs w:val="20"/>
        </w:rPr>
        <w:t>zile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începând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126BD2">
        <w:rPr>
          <w:rFonts w:ascii="Times New Roman" w:hAnsi="Times New Roman"/>
          <w:sz w:val="20"/>
          <w:szCs w:val="20"/>
        </w:rPr>
        <w:t>ziua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următoare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luării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cunoștință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despre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actul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considerat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nelegal</w:t>
      </w:r>
      <w:proofErr w:type="spellEnd"/>
      <w:r w:rsidRPr="00126BD2">
        <w:rPr>
          <w:rFonts w:ascii="Times New Roman" w:hAnsi="Times New Roman"/>
          <w:sz w:val="20"/>
          <w:szCs w:val="20"/>
        </w:rPr>
        <w:t>:</w:t>
      </w:r>
    </w:p>
    <w:p w14:paraId="1F1E09A0" w14:textId="77777777" w:rsidR="005207AE" w:rsidRPr="00126BD2" w:rsidRDefault="005207AE" w:rsidP="005207AE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fie pe </w:t>
      </w:r>
      <w:proofErr w:type="spellStart"/>
      <w:r w:rsidRPr="00126BD2">
        <w:rPr>
          <w:rFonts w:ascii="Times New Roman" w:hAnsi="Times New Roman"/>
          <w:sz w:val="20"/>
          <w:szCs w:val="20"/>
        </w:rPr>
        <w:t>cale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administrativ-jurisdicțională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Consiliul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Național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Soluționare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Contestațiilor</w:t>
      </w:r>
      <w:proofErr w:type="spellEnd"/>
      <w:r w:rsidRPr="00126BD2">
        <w:rPr>
          <w:rFonts w:ascii="Times New Roman" w:hAnsi="Times New Roman"/>
          <w:sz w:val="20"/>
          <w:szCs w:val="20"/>
        </w:rPr>
        <w:t>;</w:t>
      </w:r>
    </w:p>
    <w:p w14:paraId="5E64082E" w14:textId="77777777" w:rsidR="005207AE" w:rsidRPr="00126BD2" w:rsidRDefault="005207AE" w:rsidP="005207AE">
      <w:pPr>
        <w:numPr>
          <w:ilvl w:val="0"/>
          <w:numId w:val="16"/>
        </w:numPr>
        <w:spacing w:after="120" w:line="276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126BD2">
        <w:rPr>
          <w:rFonts w:ascii="Times New Roman" w:hAnsi="Times New Roman"/>
          <w:sz w:val="20"/>
          <w:szCs w:val="20"/>
        </w:rPr>
        <w:t xml:space="preserve">fie pe </w:t>
      </w:r>
      <w:proofErr w:type="spellStart"/>
      <w:r w:rsidRPr="00126BD2">
        <w:rPr>
          <w:rFonts w:ascii="Times New Roman" w:hAnsi="Times New Roman"/>
          <w:sz w:val="20"/>
          <w:szCs w:val="20"/>
        </w:rPr>
        <w:t>cale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judiciară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126BD2">
        <w:rPr>
          <w:rFonts w:ascii="Times New Roman" w:hAnsi="Times New Roman"/>
          <w:sz w:val="20"/>
          <w:szCs w:val="20"/>
        </w:rPr>
        <w:t>instanța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judecată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3E9AAA5F" w14:textId="77777777" w:rsidR="005207AE" w:rsidRPr="00126BD2" w:rsidRDefault="005207AE" w:rsidP="005207AE">
      <w:pPr>
        <w:spacing w:after="120"/>
        <w:rPr>
          <w:rFonts w:ascii="Times New Roman" w:hAnsi="Times New Roman"/>
          <w:sz w:val="20"/>
          <w:szCs w:val="20"/>
        </w:rPr>
      </w:pPr>
      <w:proofErr w:type="spellStart"/>
      <w:r w:rsidRPr="00126BD2">
        <w:rPr>
          <w:rFonts w:ascii="Times New Roman" w:hAnsi="Times New Roman"/>
          <w:sz w:val="20"/>
          <w:szCs w:val="20"/>
        </w:rPr>
        <w:t>Indiferent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126BD2">
        <w:rPr>
          <w:rFonts w:ascii="Times New Roman" w:hAnsi="Times New Roman"/>
          <w:sz w:val="20"/>
          <w:szCs w:val="20"/>
        </w:rPr>
        <w:t>procedura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aleasă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26BD2">
        <w:rPr>
          <w:rFonts w:ascii="Times New Roman" w:hAnsi="Times New Roman"/>
          <w:sz w:val="20"/>
          <w:szCs w:val="20"/>
        </w:rPr>
        <w:t>contestația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va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126BD2">
        <w:rPr>
          <w:rFonts w:ascii="Times New Roman" w:hAnsi="Times New Roman"/>
          <w:sz w:val="20"/>
          <w:szCs w:val="20"/>
        </w:rPr>
        <w:t>transmisă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în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același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timp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și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Autorității</w:t>
      </w:r>
      <w:proofErr w:type="spellEnd"/>
      <w:r w:rsidRPr="00126BD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26BD2">
        <w:rPr>
          <w:rFonts w:ascii="Times New Roman" w:hAnsi="Times New Roman"/>
          <w:sz w:val="20"/>
          <w:szCs w:val="20"/>
        </w:rPr>
        <w:t>Contractante</w:t>
      </w:r>
      <w:proofErr w:type="spellEnd"/>
      <w:r w:rsidRPr="00126BD2">
        <w:rPr>
          <w:rFonts w:ascii="Times New Roman" w:hAnsi="Times New Roman"/>
          <w:sz w:val="20"/>
          <w:szCs w:val="20"/>
        </w:rPr>
        <w:t>.</w:t>
      </w:r>
    </w:p>
    <w:p w14:paraId="4E86DA4C" w14:textId="77777777" w:rsidR="005207AE" w:rsidRPr="00126BD2" w:rsidRDefault="005207AE" w:rsidP="005207AE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0"/>
          <w:szCs w:val="20"/>
        </w:rPr>
      </w:pPr>
    </w:p>
    <w:sectPr w:rsidR="005207AE" w:rsidRPr="00126BD2" w:rsidSect="0073611C">
      <w:headerReference w:type="default" r:id="rId8"/>
      <w:footerReference w:type="default" r:id="rId9"/>
      <w:pgSz w:w="11906" w:h="16838" w:code="9"/>
      <w:pgMar w:top="2520" w:right="1440" w:bottom="1440" w:left="1440" w:header="2448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4D210" w14:textId="77777777" w:rsidR="005F1893" w:rsidRDefault="005F1893" w:rsidP="00B13911">
      <w:pPr>
        <w:spacing w:after="0" w:line="240" w:lineRule="auto"/>
      </w:pPr>
      <w:r>
        <w:separator/>
      </w:r>
    </w:p>
  </w:endnote>
  <w:endnote w:type="continuationSeparator" w:id="0">
    <w:p w14:paraId="2F4704DC" w14:textId="77777777" w:rsidR="005F1893" w:rsidRDefault="005F1893" w:rsidP="00B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4274" w14:textId="77777777" w:rsidR="005207AE" w:rsidRDefault="005207AE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E4BF482" wp14:editId="12EFDADF">
          <wp:simplePos x="0" y="0"/>
          <wp:positionH relativeFrom="column">
            <wp:posOffset>5441315</wp:posOffset>
          </wp:positionH>
          <wp:positionV relativeFrom="paragraph">
            <wp:posOffset>120650</wp:posOffset>
          </wp:positionV>
          <wp:extent cx="769620" cy="796290"/>
          <wp:effectExtent l="19050" t="0" r="0" b="0"/>
          <wp:wrapThrough wrapText="bothSides">
            <wp:wrapPolygon edited="0">
              <wp:start x="-535" y="0"/>
              <wp:lineTo x="-535" y="21187"/>
              <wp:lineTo x="21386" y="21187"/>
              <wp:lineTo x="21386" y="0"/>
              <wp:lineTo x="-535" y="0"/>
            </wp:wrapPolygon>
          </wp:wrapThrough>
          <wp:docPr id="1" name="Picture 0" descr="SPITAL DR. GHEORGHE MARINESCU - TARNAV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TAL DR. GHEORGHE MARINESCU - TARNAVE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16AC66F8" wp14:editId="6EF6F648">
          <wp:simplePos x="0" y="0"/>
          <wp:positionH relativeFrom="column">
            <wp:posOffset>2895600</wp:posOffset>
          </wp:positionH>
          <wp:positionV relativeFrom="page">
            <wp:posOffset>9572625</wp:posOffset>
          </wp:positionV>
          <wp:extent cx="3286125" cy="788670"/>
          <wp:effectExtent l="19050" t="0" r="9525" b="0"/>
          <wp:wrapNone/>
          <wp:docPr id="9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1893">
      <w:rPr>
        <w:noProof/>
      </w:rPr>
      <w:pict w14:anchorId="13531F3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10.65pt;margin-top:13.7pt;width:117.7pt;height:110.6pt;z-index:25165312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" filled="f" stroked="f" strokeweight="1pt">
          <v:textbox style="mso-fit-shape-to-text:t">
            <w:txbxContent>
              <w:p w14:paraId="69118E4B" w14:textId="77777777" w:rsidR="005207AE" w:rsidRPr="00EE505A" w:rsidRDefault="005207A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tel: +4 0265 446 161</w:t>
                </w:r>
              </w:p>
              <w:p w14:paraId="618CD4F2" w14:textId="77777777" w:rsidR="005207AE" w:rsidRDefault="005207A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fax: +4 0265 446 156</w:t>
                </w:r>
              </w:p>
              <w:p w14:paraId="72D231DC" w14:textId="77777777" w:rsidR="005207AE" w:rsidRPr="00EE505A" w:rsidRDefault="005207A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email: spmtar@yahoo.com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76E172F2" wp14:editId="42039251">
          <wp:simplePos x="0" y="0"/>
          <wp:positionH relativeFrom="column">
            <wp:posOffset>1241425</wp:posOffset>
          </wp:positionH>
          <wp:positionV relativeFrom="page">
            <wp:posOffset>9907270</wp:posOffset>
          </wp:positionV>
          <wp:extent cx="165100" cy="165100"/>
          <wp:effectExtent l="19050" t="0" r="6350" b="0"/>
          <wp:wrapNone/>
          <wp:docPr id="7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11168D" wp14:editId="109AF2FF">
          <wp:simplePos x="0" y="0"/>
          <wp:positionH relativeFrom="column">
            <wp:posOffset>1242060</wp:posOffset>
          </wp:positionH>
          <wp:positionV relativeFrom="page">
            <wp:posOffset>9638665</wp:posOffset>
          </wp:positionV>
          <wp:extent cx="165735" cy="165735"/>
          <wp:effectExtent l="19050" t="0" r="5715" b="0"/>
          <wp:wrapNone/>
          <wp:docPr id="6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165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1893">
      <w:rPr>
        <w:noProof/>
      </w:rPr>
      <w:pict w14:anchorId="2368D6F6">
        <v:shape id="Text Box 2" o:spid="_x0000_s2053" type="#_x0000_t202" style="position:absolute;margin-left:-28.9pt;margin-top:14pt;width:126.55pt;height:110.6pt;z-index:25165209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" filled="f" stroked="f" strokeweight="1pt">
          <v:textbox style="mso-fit-shape-to-text:t">
            <w:txbxContent>
              <w:p w14:paraId="30DE78FA" w14:textId="77777777" w:rsidR="005207AE" w:rsidRPr="00277DFC" w:rsidRDefault="005207A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277DFC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Strada Victor Babeș nr. 2,</w:t>
                </w:r>
              </w:p>
              <w:p w14:paraId="61D3E7D5" w14:textId="77777777" w:rsidR="005207AE" w:rsidRPr="00277DFC" w:rsidRDefault="005207A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277DFC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Târnăveni, Mureș, CP 545600, România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080B694C" wp14:editId="38D3387D">
          <wp:simplePos x="0" y="0"/>
          <wp:positionH relativeFrom="column">
            <wp:posOffset>-445135</wp:posOffset>
          </wp:positionH>
          <wp:positionV relativeFrom="page">
            <wp:posOffset>9640570</wp:posOffset>
          </wp:positionV>
          <wp:extent cx="158750" cy="163830"/>
          <wp:effectExtent l="0" t="0" r="0" b="0"/>
          <wp:wrapNone/>
          <wp:docPr id="4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6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1893">
      <w:rPr>
        <w:noProof/>
      </w:rPr>
      <w:pict w14:anchorId="1A2AEFE0">
        <v:shape id="_x0000_s2051" type="#_x0000_t202" style="position:absolute;margin-left:-42.3pt;margin-top:53.05pt;width:334pt;height:110.6pt;z-index:251654144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" filled="f" stroked="f" strokeweight="1pt">
          <v:textbox style="mso-fit-shape-to-text:t">
            <w:txbxContent>
              <w:p w14:paraId="3E0B71C5" w14:textId="77777777" w:rsidR="005207AE" w:rsidRPr="00EE505A" w:rsidRDefault="005207AE" w:rsidP="002A79D5">
                <w:pPr>
                  <w:pStyle w:val="NoSpacing"/>
                  <w:rPr>
                    <w:rFonts w:ascii="Open Sans" w:hAnsi="Open Sans" w:cs="Open Sans"/>
                    <w:b/>
                    <w:bCs/>
                    <w:sz w:val="14"/>
                    <w:szCs w:val="14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b/>
                    <w:bCs/>
                    <w:sz w:val="14"/>
                    <w:szCs w:val="14"/>
                    <w:lang w:val="ro-RO"/>
                  </w:rPr>
                  <w:t>Operator de date cu caracter personal înregistrat la ANSPDCP cu nr. 1465 din 13 iulie 2011</w:t>
                </w:r>
              </w:p>
            </w:txbxContent>
          </v:textbox>
          <w10:wrap type="square"/>
        </v:shape>
      </w:pict>
    </w:r>
    <w:r w:rsidR="005F1893">
      <w:rPr>
        <w:noProof/>
      </w:rPr>
      <w:pict w14:anchorId="7C411D64">
        <v:rect id="Rectangle 264" o:spid="_x0000_s2049" style="position:absolute;margin-left:-1in;margin-top:815.65pt;width:594.7pt;height:5.1pt;z-index:251655168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" fillcolor="#bc3428" stroked="f" strokeweight="1pt">
          <w10:wrap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3E82" w14:textId="77777777" w:rsidR="005F1893" w:rsidRDefault="005F1893" w:rsidP="00B13911">
      <w:pPr>
        <w:spacing w:after="0" w:line="240" w:lineRule="auto"/>
      </w:pPr>
      <w:r>
        <w:separator/>
      </w:r>
    </w:p>
  </w:footnote>
  <w:footnote w:type="continuationSeparator" w:id="0">
    <w:p w14:paraId="0C5305DF" w14:textId="77777777" w:rsidR="005F1893" w:rsidRDefault="005F1893" w:rsidP="00B1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B2CB" w14:textId="77777777" w:rsidR="005207AE" w:rsidRDefault="005207AE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F070613" wp14:editId="5B80F01A">
          <wp:simplePos x="0" y="0"/>
          <wp:positionH relativeFrom="column">
            <wp:posOffset>2970530</wp:posOffset>
          </wp:positionH>
          <wp:positionV relativeFrom="page">
            <wp:posOffset>497205</wp:posOffset>
          </wp:positionV>
          <wp:extent cx="2094230" cy="648970"/>
          <wp:effectExtent l="19050" t="0" r="127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C87F02E" wp14:editId="061613A5">
          <wp:simplePos x="0" y="0"/>
          <wp:positionH relativeFrom="column">
            <wp:posOffset>5232400</wp:posOffset>
          </wp:positionH>
          <wp:positionV relativeFrom="page">
            <wp:posOffset>495300</wp:posOffset>
          </wp:positionV>
          <wp:extent cx="982345" cy="648970"/>
          <wp:effectExtent l="19050" t="0" r="8255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7FC4908" wp14:editId="448A7233">
          <wp:simplePos x="0" y="0"/>
          <wp:positionH relativeFrom="column">
            <wp:posOffset>-433705</wp:posOffset>
          </wp:positionH>
          <wp:positionV relativeFrom="page">
            <wp:posOffset>504190</wp:posOffset>
          </wp:positionV>
          <wp:extent cx="1552575" cy="596265"/>
          <wp:effectExtent l="19050" t="0" r="952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FE9"/>
    <w:multiLevelType w:val="hybridMultilevel"/>
    <w:tmpl w:val="73A6074A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CB1"/>
    <w:multiLevelType w:val="hybridMultilevel"/>
    <w:tmpl w:val="DA00D35A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2451"/>
    <w:multiLevelType w:val="hybridMultilevel"/>
    <w:tmpl w:val="0590BBB6"/>
    <w:lvl w:ilvl="0" w:tplc="29F868B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2576"/>
    <w:multiLevelType w:val="hybridMultilevel"/>
    <w:tmpl w:val="2B50F2BC"/>
    <w:lvl w:ilvl="0" w:tplc="96EC5952">
      <w:start w:val="1"/>
      <w:numFmt w:val="upperLetter"/>
      <w:lvlText w:val="%1."/>
      <w:lvlJc w:val="left"/>
      <w:pPr>
        <w:ind w:left="990" w:hanging="360"/>
      </w:pPr>
      <w:rPr>
        <w:rFonts w:ascii="Times New Roman" w:hAnsi="Times New Roman" w:cs="Times New Roman" w:hint="default"/>
        <w:b/>
        <w:sz w:val="22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66F34CC"/>
    <w:multiLevelType w:val="hybridMultilevel"/>
    <w:tmpl w:val="0260565E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6A8E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F6589"/>
    <w:multiLevelType w:val="hybridMultilevel"/>
    <w:tmpl w:val="0260565E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D1C83"/>
    <w:multiLevelType w:val="hybridMultilevel"/>
    <w:tmpl w:val="73A6074A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77F18"/>
    <w:multiLevelType w:val="hybridMultilevel"/>
    <w:tmpl w:val="CD944984"/>
    <w:lvl w:ilvl="0" w:tplc="A7CA6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B87F9B"/>
    <w:multiLevelType w:val="hybridMultilevel"/>
    <w:tmpl w:val="12220F3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8576B"/>
    <w:multiLevelType w:val="hybridMultilevel"/>
    <w:tmpl w:val="0260565E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50F2"/>
    <w:multiLevelType w:val="hybridMultilevel"/>
    <w:tmpl w:val="0260565E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67452"/>
    <w:multiLevelType w:val="hybridMultilevel"/>
    <w:tmpl w:val="75B0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A0BE8"/>
    <w:multiLevelType w:val="hybridMultilevel"/>
    <w:tmpl w:val="E4AADCB6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54D21"/>
    <w:multiLevelType w:val="hybridMultilevel"/>
    <w:tmpl w:val="AAB43E28"/>
    <w:lvl w:ilvl="0" w:tplc="81E0F05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7B6193"/>
    <w:multiLevelType w:val="hybridMultilevel"/>
    <w:tmpl w:val="15CEE578"/>
    <w:lvl w:ilvl="0" w:tplc="334C3CC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4"/>
  </w:num>
  <w:num w:numId="7">
    <w:abstractNumId w:val="13"/>
  </w:num>
  <w:num w:numId="8">
    <w:abstractNumId w:val="10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39F"/>
    <w:rsid w:val="00010B2A"/>
    <w:rsid w:val="000272FE"/>
    <w:rsid w:val="00036BD1"/>
    <w:rsid w:val="000543B6"/>
    <w:rsid w:val="00063F17"/>
    <w:rsid w:val="00092035"/>
    <w:rsid w:val="000D3A81"/>
    <w:rsid w:val="00103551"/>
    <w:rsid w:val="001560C1"/>
    <w:rsid w:val="00163229"/>
    <w:rsid w:val="00181633"/>
    <w:rsid w:val="00220FBF"/>
    <w:rsid w:val="00243C98"/>
    <w:rsid w:val="002601B3"/>
    <w:rsid w:val="002709DB"/>
    <w:rsid w:val="00274A00"/>
    <w:rsid w:val="0027721C"/>
    <w:rsid w:val="00277DFC"/>
    <w:rsid w:val="002961CB"/>
    <w:rsid w:val="002A236B"/>
    <w:rsid w:val="002A79D5"/>
    <w:rsid w:val="002D25F6"/>
    <w:rsid w:val="002D58D3"/>
    <w:rsid w:val="00340B86"/>
    <w:rsid w:val="00344111"/>
    <w:rsid w:val="00352BB8"/>
    <w:rsid w:val="00365CAA"/>
    <w:rsid w:val="00375EF6"/>
    <w:rsid w:val="003C66C3"/>
    <w:rsid w:val="003E127F"/>
    <w:rsid w:val="00420B95"/>
    <w:rsid w:val="004602B5"/>
    <w:rsid w:val="00462ED4"/>
    <w:rsid w:val="0046365D"/>
    <w:rsid w:val="00485CE5"/>
    <w:rsid w:val="004C0DBA"/>
    <w:rsid w:val="005207AE"/>
    <w:rsid w:val="00543E8C"/>
    <w:rsid w:val="00561F5B"/>
    <w:rsid w:val="005B605A"/>
    <w:rsid w:val="005F1893"/>
    <w:rsid w:val="00613B3F"/>
    <w:rsid w:val="0065039F"/>
    <w:rsid w:val="006504D9"/>
    <w:rsid w:val="00652509"/>
    <w:rsid w:val="00676829"/>
    <w:rsid w:val="00681F6D"/>
    <w:rsid w:val="006938F5"/>
    <w:rsid w:val="006C7F10"/>
    <w:rsid w:val="007064A1"/>
    <w:rsid w:val="00713E5D"/>
    <w:rsid w:val="00724F29"/>
    <w:rsid w:val="0073611C"/>
    <w:rsid w:val="00762DC0"/>
    <w:rsid w:val="00763776"/>
    <w:rsid w:val="00772C86"/>
    <w:rsid w:val="0079790B"/>
    <w:rsid w:val="007A0895"/>
    <w:rsid w:val="007A0F4B"/>
    <w:rsid w:val="007A3210"/>
    <w:rsid w:val="007A69B0"/>
    <w:rsid w:val="007E2995"/>
    <w:rsid w:val="008105A8"/>
    <w:rsid w:val="008124E5"/>
    <w:rsid w:val="00825228"/>
    <w:rsid w:val="008323C4"/>
    <w:rsid w:val="00866326"/>
    <w:rsid w:val="0089329E"/>
    <w:rsid w:val="008B6CC3"/>
    <w:rsid w:val="008F4FC3"/>
    <w:rsid w:val="009058E9"/>
    <w:rsid w:val="009711D9"/>
    <w:rsid w:val="00986E78"/>
    <w:rsid w:val="00995687"/>
    <w:rsid w:val="009E031A"/>
    <w:rsid w:val="009E3672"/>
    <w:rsid w:val="00A2308F"/>
    <w:rsid w:val="00A77CCA"/>
    <w:rsid w:val="00A92DD8"/>
    <w:rsid w:val="00A937C6"/>
    <w:rsid w:val="00AC4A35"/>
    <w:rsid w:val="00AF06ED"/>
    <w:rsid w:val="00B03C1A"/>
    <w:rsid w:val="00B13911"/>
    <w:rsid w:val="00B34C21"/>
    <w:rsid w:val="00B421EE"/>
    <w:rsid w:val="00B42E32"/>
    <w:rsid w:val="00BA6F73"/>
    <w:rsid w:val="00C07FAC"/>
    <w:rsid w:val="00C62DA2"/>
    <w:rsid w:val="00C66350"/>
    <w:rsid w:val="00C87DCB"/>
    <w:rsid w:val="00CA5FAA"/>
    <w:rsid w:val="00CD3822"/>
    <w:rsid w:val="00CE07F1"/>
    <w:rsid w:val="00CF08A6"/>
    <w:rsid w:val="00D16B18"/>
    <w:rsid w:val="00D23DE1"/>
    <w:rsid w:val="00D425A1"/>
    <w:rsid w:val="00D51033"/>
    <w:rsid w:val="00D661F1"/>
    <w:rsid w:val="00D851B9"/>
    <w:rsid w:val="00DA31D3"/>
    <w:rsid w:val="00DA51B6"/>
    <w:rsid w:val="00DA7CF8"/>
    <w:rsid w:val="00DB5AD7"/>
    <w:rsid w:val="00DB71D9"/>
    <w:rsid w:val="00DC6521"/>
    <w:rsid w:val="00DE0469"/>
    <w:rsid w:val="00E16E0C"/>
    <w:rsid w:val="00E52EA2"/>
    <w:rsid w:val="00E908EB"/>
    <w:rsid w:val="00EB7FF3"/>
    <w:rsid w:val="00EC3D1D"/>
    <w:rsid w:val="00EE505A"/>
    <w:rsid w:val="00F03F83"/>
    <w:rsid w:val="00F066BF"/>
    <w:rsid w:val="00F15544"/>
    <w:rsid w:val="00F41F69"/>
    <w:rsid w:val="00F64271"/>
    <w:rsid w:val="00FA4691"/>
    <w:rsid w:val="00FD1337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876CF0D"/>
  <w15:docId w15:val="{4BDF5E21-D5F1-475D-A5FC-37810DCA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B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11"/>
  </w:style>
  <w:style w:type="paragraph" w:styleId="Footer">
    <w:name w:val="footer"/>
    <w:basedOn w:val="Normal"/>
    <w:link w:val="Foot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11"/>
  </w:style>
  <w:style w:type="paragraph" w:styleId="NoSpacing">
    <w:name w:val="No Spacing"/>
    <w:uiPriority w:val="1"/>
    <w:qFormat/>
    <w:rsid w:val="00543E8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03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58E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207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styleId="ListParagraph">
    <w:name w:val="List Paragraph"/>
    <w:aliases w:val="Forth level,Citation List,본문(내용),List Paragraph (numbered (a))"/>
    <w:basedOn w:val="Normal"/>
    <w:link w:val="ListParagraphChar"/>
    <w:uiPriority w:val="34"/>
    <w:qFormat/>
    <w:rsid w:val="005207AE"/>
    <w:pPr>
      <w:ind w:left="720"/>
      <w:contextualSpacing/>
    </w:pPr>
    <w:rPr>
      <w:rFonts w:asciiTheme="minorHAnsi" w:eastAsiaTheme="minorHAnsi" w:hAnsiTheme="minorHAnsi" w:cstheme="minorBidi"/>
      <w:lang w:val="ro-RO"/>
    </w:rPr>
  </w:style>
  <w:style w:type="character" w:customStyle="1" w:styleId="ListParagraphChar">
    <w:name w:val="List Paragraph Char"/>
    <w:aliases w:val="Forth level Char,Citation List Char,본문(내용) Char,List Paragraph (numbered (a)) Char"/>
    <w:link w:val="ListParagraph"/>
    <w:uiPriority w:val="34"/>
    <w:locked/>
    <w:rsid w:val="005207AE"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kuj%20Ors\Projects\2017-11%20Spital%20Tarnaveni\Final\Word%20Files\SMT_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8BF7-D459-4651-96AA-F710DC68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SMT_Letterhead1</Template>
  <TotalTime>56</TotalTime>
  <Pages>1</Pages>
  <Words>7267</Words>
  <Characters>41425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achizitii1</cp:lastModifiedBy>
  <cp:revision>26</cp:revision>
  <cp:lastPrinted>2026-03-09T08:01:00Z</cp:lastPrinted>
  <dcterms:created xsi:type="dcterms:W3CDTF">2021-05-04T06:44:00Z</dcterms:created>
  <dcterms:modified xsi:type="dcterms:W3CDTF">2026-03-09T08:08:00Z</dcterms:modified>
</cp:coreProperties>
</file>